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17D36D50" w14:textId="77777777" w:rsidR="002728AA" w:rsidRDefault="002728AA" w:rsidP="002728AA">
      <w:pPr>
        <w:pStyle w:val="Heading1"/>
      </w:pPr>
      <w:bookmarkStart w:id="0" w:name="_Toc219990970"/>
      <w:r>
        <w:t xml:space="preserve">Policy Requirements Mapped to </w:t>
      </w:r>
      <w:proofErr w:type="spellStart"/>
      <w:r>
        <w:t>KMMH</w:t>
      </w:r>
      <w:proofErr w:type="spellEnd"/>
      <w:r>
        <w:t xml:space="preserve"> Learning Disability and Autism Programme Workstreams</w:t>
      </w:r>
      <w:bookmarkEnd w:id="0"/>
    </w:p>
    <w:p w14:paraId="25154259" w14:textId="77777777" w:rsidR="002728AA" w:rsidRDefault="002728AA" w:rsidP="002728AA">
      <w:pPr>
        <w:spacing w:before="360"/>
        <w:jc w:val="center"/>
        <w:rPr>
          <w:i/>
          <w:iCs/>
          <w:sz w:val="22"/>
          <w:szCs w:val="22"/>
        </w:rPr>
      </w:pPr>
      <w:r>
        <w:rPr>
          <w:i/>
          <w:iCs/>
          <w:sz w:val="22"/>
          <w:szCs w:val="22"/>
        </w:rPr>
        <w:t>393 Requirements from Six National and Regional Policy Documents</w:t>
      </w:r>
    </w:p>
    <w:sdt>
      <w:sdtPr>
        <w:rPr>
          <w:rFonts w:ascii="Arial" w:eastAsia="Arial" w:hAnsi="Arial" w:cs="Arial"/>
          <w:color w:val="auto"/>
          <w:sz w:val="24"/>
          <w:szCs w:val="24"/>
          <w:lang w:val="en-GB" w:eastAsia="en-GB"/>
        </w:rPr>
        <w:id w:val="1684166579"/>
        <w:docPartObj>
          <w:docPartGallery w:val="Table of Contents"/>
          <w:docPartUnique/>
        </w:docPartObj>
      </w:sdtPr>
      <w:sdtEndPr>
        <w:rPr>
          <w:b/>
          <w:bCs/>
          <w:noProof/>
        </w:rPr>
      </w:sdtEndPr>
      <w:sdtContent>
        <w:p w14:paraId="3B9F1138" w14:textId="77777777" w:rsidR="002728AA" w:rsidRDefault="002728AA" w:rsidP="002728AA">
          <w:pPr>
            <w:pStyle w:val="TOCHeading"/>
            <w:spacing w:before="360" w:after="120"/>
          </w:pPr>
          <w:r>
            <w:t>Contents</w:t>
          </w:r>
        </w:p>
        <w:p w14:paraId="606476B8"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9990970" w:history="1">
            <w:r w:rsidRPr="00AA7151">
              <w:rPr>
                <w:rStyle w:val="Hyperlink"/>
                <w:noProof/>
              </w:rPr>
              <w:t>Policy Requirements Mapped to KMMH Learning Disability and Autism Programme Workstreams</w:t>
            </w:r>
            <w:r>
              <w:rPr>
                <w:noProof/>
                <w:webHidden/>
              </w:rPr>
              <w:tab/>
            </w:r>
            <w:r>
              <w:rPr>
                <w:noProof/>
                <w:webHidden/>
              </w:rPr>
              <w:fldChar w:fldCharType="begin"/>
            </w:r>
            <w:r>
              <w:rPr>
                <w:noProof/>
                <w:webHidden/>
              </w:rPr>
              <w:instrText xml:space="preserve"> PAGEREF _Toc219990970 \h </w:instrText>
            </w:r>
            <w:r>
              <w:rPr>
                <w:noProof/>
                <w:webHidden/>
              </w:rPr>
            </w:r>
            <w:r>
              <w:rPr>
                <w:noProof/>
                <w:webHidden/>
              </w:rPr>
              <w:fldChar w:fldCharType="separate"/>
            </w:r>
            <w:r>
              <w:rPr>
                <w:noProof/>
                <w:webHidden/>
              </w:rPr>
              <w:t>1</w:t>
            </w:r>
            <w:r>
              <w:rPr>
                <w:noProof/>
                <w:webHidden/>
              </w:rPr>
              <w:fldChar w:fldCharType="end"/>
            </w:r>
          </w:hyperlink>
        </w:p>
        <w:p w14:paraId="092B67D5"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71" w:history="1">
            <w:r w:rsidRPr="00AA7151">
              <w:rPr>
                <w:rStyle w:val="Hyperlink"/>
                <w:noProof/>
              </w:rPr>
              <w:t>Executive Summary</w:t>
            </w:r>
            <w:r>
              <w:rPr>
                <w:noProof/>
                <w:webHidden/>
              </w:rPr>
              <w:tab/>
            </w:r>
            <w:r>
              <w:rPr>
                <w:noProof/>
                <w:webHidden/>
              </w:rPr>
              <w:fldChar w:fldCharType="begin"/>
            </w:r>
            <w:r>
              <w:rPr>
                <w:noProof/>
                <w:webHidden/>
              </w:rPr>
              <w:instrText xml:space="preserve"> PAGEREF _Toc219990971 \h </w:instrText>
            </w:r>
            <w:r>
              <w:rPr>
                <w:noProof/>
                <w:webHidden/>
              </w:rPr>
            </w:r>
            <w:r>
              <w:rPr>
                <w:noProof/>
                <w:webHidden/>
              </w:rPr>
              <w:fldChar w:fldCharType="separate"/>
            </w:r>
            <w:r>
              <w:rPr>
                <w:noProof/>
                <w:webHidden/>
              </w:rPr>
              <w:t>1</w:t>
            </w:r>
            <w:r>
              <w:rPr>
                <w:noProof/>
                <w:webHidden/>
              </w:rPr>
              <w:fldChar w:fldCharType="end"/>
            </w:r>
          </w:hyperlink>
        </w:p>
        <w:p w14:paraId="613B1AF0" w14:textId="77777777" w:rsidR="002728AA" w:rsidRDefault="002728AA" w:rsidP="002728AA">
          <w:pPr>
            <w:pStyle w:val="TOC2"/>
            <w:tabs>
              <w:tab w:val="right" w:leader="dot" w:pos="9016"/>
            </w:tabs>
            <w:rPr>
              <w:rFonts w:asciiTheme="minorHAnsi" w:eastAsiaTheme="minorEastAsia" w:hAnsiTheme="minorHAnsi" w:cstheme="minorBidi"/>
              <w:noProof/>
              <w:kern w:val="2"/>
              <w14:ligatures w14:val="standardContextual"/>
            </w:rPr>
          </w:pPr>
          <w:hyperlink w:anchor="_Toc219990972" w:history="1">
            <w:r w:rsidRPr="00AA7151">
              <w:rPr>
                <w:rStyle w:val="Hyperlink"/>
                <w:noProof/>
              </w:rPr>
              <w:t>Requirements by Workstream</w:t>
            </w:r>
            <w:r>
              <w:rPr>
                <w:noProof/>
                <w:webHidden/>
              </w:rPr>
              <w:tab/>
            </w:r>
            <w:r>
              <w:rPr>
                <w:noProof/>
                <w:webHidden/>
              </w:rPr>
              <w:fldChar w:fldCharType="begin"/>
            </w:r>
            <w:r>
              <w:rPr>
                <w:noProof/>
                <w:webHidden/>
              </w:rPr>
              <w:instrText xml:space="preserve"> PAGEREF _Toc219990972 \h </w:instrText>
            </w:r>
            <w:r>
              <w:rPr>
                <w:noProof/>
                <w:webHidden/>
              </w:rPr>
            </w:r>
            <w:r>
              <w:rPr>
                <w:noProof/>
                <w:webHidden/>
              </w:rPr>
              <w:fldChar w:fldCharType="separate"/>
            </w:r>
            <w:r>
              <w:rPr>
                <w:noProof/>
                <w:webHidden/>
              </w:rPr>
              <w:t>3</w:t>
            </w:r>
            <w:r>
              <w:rPr>
                <w:noProof/>
                <w:webHidden/>
              </w:rPr>
              <w:fldChar w:fldCharType="end"/>
            </w:r>
          </w:hyperlink>
        </w:p>
        <w:p w14:paraId="33854ABF"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73" w:history="1">
            <w:r w:rsidRPr="00AA7151">
              <w:rPr>
                <w:rStyle w:val="Hyperlink"/>
                <w:noProof/>
              </w:rPr>
              <w:t>Workstream 1: Areas of Immediate Need</w:t>
            </w:r>
            <w:r>
              <w:rPr>
                <w:noProof/>
                <w:webHidden/>
              </w:rPr>
              <w:tab/>
            </w:r>
            <w:r>
              <w:rPr>
                <w:noProof/>
                <w:webHidden/>
              </w:rPr>
              <w:fldChar w:fldCharType="begin"/>
            </w:r>
            <w:r>
              <w:rPr>
                <w:noProof/>
                <w:webHidden/>
              </w:rPr>
              <w:instrText xml:space="preserve"> PAGEREF _Toc219990973 \h </w:instrText>
            </w:r>
            <w:r>
              <w:rPr>
                <w:noProof/>
                <w:webHidden/>
              </w:rPr>
            </w:r>
            <w:r>
              <w:rPr>
                <w:noProof/>
                <w:webHidden/>
              </w:rPr>
              <w:fldChar w:fldCharType="separate"/>
            </w:r>
            <w:r>
              <w:rPr>
                <w:noProof/>
                <w:webHidden/>
              </w:rPr>
              <w:t>3</w:t>
            </w:r>
            <w:r>
              <w:rPr>
                <w:noProof/>
                <w:webHidden/>
              </w:rPr>
              <w:fldChar w:fldCharType="end"/>
            </w:r>
          </w:hyperlink>
        </w:p>
        <w:p w14:paraId="1B9147E6"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74" w:history="1">
            <w:r w:rsidRPr="00AA7151">
              <w:rPr>
                <w:rStyle w:val="Hyperlink"/>
                <w:noProof/>
              </w:rPr>
              <w:t>Priority 1 (High) Sub-themes</w:t>
            </w:r>
            <w:r>
              <w:rPr>
                <w:noProof/>
                <w:webHidden/>
              </w:rPr>
              <w:tab/>
            </w:r>
            <w:r>
              <w:rPr>
                <w:noProof/>
                <w:webHidden/>
              </w:rPr>
              <w:fldChar w:fldCharType="begin"/>
            </w:r>
            <w:r>
              <w:rPr>
                <w:noProof/>
                <w:webHidden/>
              </w:rPr>
              <w:instrText xml:space="preserve"> PAGEREF _Toc219990974 \h </w:instrText>
            </w:r>
            <w:r>
              <w:rPr>
                <w:noProof/>
                <w:webHidden/>
              </w:rPr>
            </w:r>
            <w:r>
              <w:rPr>
                <w:noProof/>
                <w:webHidden/>
              </w:rPr>
              <w:fldChar w:fldCharType="separate"/>
            </w:r>
            <w:r>
              <w:rPr>
                <w:noProof/>
                <w:webHidden/>
              </w:rPr>
              <w:t>3</w:t>
            </w:r>
            <w:r>
              <w:rPr>
                <w:noProof/>
                <w:webHidden/>
              </w:rPr>
              <w:fldChar w:fldCharType="end"/>
            </w:r>
          </w:hyperlink>
        </w:p>
        <w:p w14:paraId="2F7FF31C"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75" w:history="1">
            <w:r w:rsidRPr="00AA7151">
              <w:rPr>
                <w:rStyle w:val="Hyperlink"/>
                <w:noProof/>
              </w:rPr>
              <w:t>Priority 2 (Medium) Sub-themes</w:t>
            </w:r>
            <w:r>
              <w:rPr>
                <w:noProof/>
                <w:webHidden/>
              </w:rPr>
              <w:tab/>
            </w:r>
            <w:r>
              <w:rPr>
                <w:noProof/>
                <w:webHidden/>
              </w:rPr>
              <w:fldChar w:fldCharType="begin"/>
            </w:r>
            <w:r>
              <w:rPr>
                <w:noProof/>
                <w:webHidden/>
              </w:rPr>
              <w:instrText xml:space="preserve"> PAGEREF _Toc219990975 \h </w:instrText>
            </w:r>
            <w:r>
              <w:rPr>
                <w:noProof/>
                <w:webHidden/>
              </w:rPr>
            </w:r>
            <w:r>
              <w:rPr>
                <w:noProof/>
                <w:webHidden/>
              </w:rPr>
              <w:fldChar w:fldCharType="separate"/>
            </w:r>
            <w:r>
              <w:rPr>
                <w:noProof/>
                <w:webHidden/>
              </w:rPr>
              <w:t>4</w:t>
            </w:r>
            <w:r>
              <w:rPr>
                <w:noProof/>
                <w:webHidden/>
              </w:rPr>
              <w:fldChar w:fldCharType="end"/>
            </w:r>
          </w:hyperlink>
        </w:p>
        <w:p w14:paraId="5A9E479F"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76" w:history="1">
            <w:r w:rsidRPr="00AA7151">
              <w:rPr>
                <w:rStyle w:val="Hyperlink"/>
                <w:noProof/>
              </w:rPr>
              <w:t>Workstream 2: Health Inequality</w:t>
            </w:r>
            <w:r>
              <w:rPr>
                <w:noProof/>
                <w:webHidden/>
              </w:rPr>
              <w:tab/>
            </w:r>
            <w:r>
              <w:rPr>
                <w:noProof/>
                <w:webHidden/>
              </w:rPr>
              <w:fldChar w:fldCharType="begin"/>
            </w:r>
            <w:r>
              <w:rPr>
                <w:noProof/>
                <w:webHidden/>
              </w:rPr>
              <w:instrText xml:space="preserve"> PAGEREF _Toc219990976 \h </w:instrText>
            </w:r>
            <w:r>
              <w:rPr>
                <w:noProof/>
                <w:webHidden/>
              </w:rPr>
            </w:r>
            <w:r>
              <w:rPr>
                <w:noProof/>
                <w:webHidden/>
              </w:rPr>
              <w:fldChar w:fldCharType="separate"/>
            </w:r>
            <w:r>
              <w:rPr>
                <w:noProof/>
                <w:webHidden/>
              </w:rPr>
              <w:t>4</w:t>
            </w:r>
            <w:r>
              <w:rPr>
                <w:noProof/>
                <w:webHidden/>
              </w:rPr>
              <w:fldChar w:fldCharType="end"/>
            </w:r>
          </w:hyperlink>
        </w:p>
        <w:p w14:paraId="052E7F6C"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77" w:history="1">
            <w:r w:rsidRPr="00AA7151">
              <w:rPr>
                <w:rStyle w:val="Hyperlink"/>
                <w:noProof/>
              </w:rPr>
              <w:t>Priority 1 (High) Sub-themes</w:t>
            </w:r>
            <w:r>
              <w:rPr>
                <w:noProof/>
                <w:webHidden/>
              </w:rPr>
              <w:tab/>
            </w:r>
            <w:r>
              <w:rPr>
                <w:noProof/>
                <w:webHidden/>
              </w:rPr>
              <w:fldChar w:fldCharType="begin"/>
            </w:r>
            <w:r>
              <w:rPr>
                <w:noProof/>
                <w:webHidden/>
              </w:rPr>
              <w:instrText xml:space="preserve"> PAGEREF _Toc219990977 \h </w:instrText>
            </w:r>
            <w:r>
              <w:rPr>
                <w:noProof/>
                <w:webHidden/>
              </w:rPr>
            </w:r>
            <w:r>
              <w:rPr>
                <w:noProof/>
                <w:webHidden/>
              </w:rPr>
              <w:fldChar w:fldCharType="separate"/>
            </w:r>
            <w:r>
              <w:rPr>
                <w:noProof/>
                <w:webHidden/>
              </w:rPr>
              <w:t>4</w:t>
            </w:r>
            <w:r>
              <w:rPr>
                <w:noProof/>
                <w:webHidden/>
              </w:rPr>
              <w:fldChar w:fldCharType="end"/>
            </w:r>
          </w:hyperlink>
        </w:p>
        <w:p w14:paraId="63DB11D9"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78" w:history="1">
            <w:r w:rsidRPr="00AA7151">
              <w:rPr>
                <w:rStyle w:val="Hyperlink"/>
                <w:noProof/>
              </w:rPr>
              <w:t>Priority 2 (Medium) Sub-themes</w:t>
            </w:r>
            <w:r>
              <w:rPr>
                <w:noProof/>
                <w:webHidden/>
              </w:rPr>
              <w:tab/>
            </w:r>
            <w:r>
              <w:rPr>
                <w:noProof/>
                <w:webHidden/>
              </w:rPr>
              <w:fldChar w:fldCharType="begin"/>
            </w:r>
            <w:r>
              <w:rPr>
                <w:noProof/>
                <w:webHidden/>
              </w:rPr>
              <w:instrText xml:space="preserve"> PAGEREF _Toc219990978 \h </w:instrText>
            </w:r>
            <w:r>
              <w:rPr>
                <w:noProof/>
                <w:webHidden/>
              </w:rPr>
            </w:r>
            <w:r>
              <w:rPr>
                <w:noProof/>
                <w:webHidden/>
              </w:rPr>
              <w:fldChar w:fldCharType="separate"/>
            </w:r>
            <w:r>
              <w:rPr>
                <w:noProof/>
                <w:webHidden/>
              </w:rPr>
              <w:t>5</w:t>
            </w:r>
            <w:r>
              <w:rPr>
                <w:noProof/>
                <w:webHidden/>
              </w:rPr>
              <w:fldChar w:fldCharType="end"/>
            </w:r>
          </w:hyperlink>
        </w:p>
        <w:p w14:paraId="664893D6"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79" w:history="1">
            <w:r w:rsidRPr="00AA7151">
              <w:rPr>
                <w:rStyle w:val="Hyperlink"/>
                <w:noProof/>
              </w:rPr>
              <w:t>Priority 3 (Partnership/System) Sub-themes</w:t>
            </w:r>
            <w:r>
              <w:rPr>
                <w:noProof/>
                <w:webHidden/>
              </w:rPr>
              <w:tab/>
            </w:r>
            <w:r>
              <w:rPr>
                <w:noProof/>
                <w:webHidden/>
              </w:rPr>
              <w:fldChar w:fldCharType="begin"/>
            </w:r>
            <w:r>
              <w:rPr>
                <w:noProof/>
                <w:webHidden/>
              </w:rPr>
              <w:instrText xml:space="preserve"> PAGEREF _Toc219990979 \h </w:instrText>
            </w:r>
            <w:r>
              <w:rPr>
                <w:noProof/>
                <w:webHidden/>
              </w:rPr>
            </w:r>
            <w:r>
              <w:rPr>
                <w:noProof/>
                <w:webHidden/>
              </w:rPr>
              <w:fldChar w:fldCharType="separate"/>
            </w:r>
            <w:r>
              <w:rPr>
                <w:noProof/>
                <w:webHidden/>
              </w:rPr>
              <w:t>5</w:t>
            </w:r>
            <w:r>
              <w:rPr>
                <w:noProof/>
                <w:webHidden/>
              </w:rPr>
              <w:fldChar w:fldCharType="end"/>
            </w:r>
          </w:hyperlink>
        </w:p>
        <w:p w14:paraId="095C6910"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80" w:history="1">
            <w:r w:rsidRPr="00AA7151">
              <w:rPr>
                <w:rStyle w:val="Hyperlink"/>
                <w:noProof/>
              </w:rPr>
              <w:t>Workstream 3: Reasonable Adjustments</w:t>
            </w:r>
            <w:r>
              <w:rPr>
                <w:noProof/>
                <w:webHidden/>
              </w:rPr>
              <w:tab/>
            </w:r>
            <w:r>
              <w:rPr>
                <w:noProof/>
                <w:webHidden/>
              </w:rPr>
              <w:fldChar w:fldCharType="begin"/>
            </w:r>
            <w:r>
              <w:rPr>
                <w:noProof/>
                <w:webHidden/>
              </w:rPr>
              <w:instrText xml:space="preserve"> PAGEREF _Toc219990980 \h </w:instrText>
            </w:r>
            <w:r>
              <w:rPr>
                <w:noProof/>
                <w:webHidden/>
              </w:rPr>
            </w:r>
            <w:r>
              <w:rPr>
                <w:noProof/>
                <w:webHidden/>
              </w:rPr>
              <w:fldChar w:fldCharType="separate"/>
            </w:r>
            <w:r>
              <w:rPr>
                <w:noProof/>
                <w:webHidden/>
              </w:rPr>
              <w:t>5</w:t>
            </w:r>
            <w:r>
              <w:rPr>
                <w:noProof/>
                <w:webHidden/>
              </w:rPr>
              <w:fldChar w:fldCharType="end"/>
            </w:r>
          </w:hyperlink>
        </w:p>
        <w:p w14:paraId="39374901"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81" w:history="1">
            <w:r w:rsidRPr="00AA7151">
              <w:rPr>
                <w:rStyle w:val="Hyperlink"/>
                <w:noProof/>
              </w:rPr>
              <w:t>Priority 1 (High) Sub-themes</w:t>
            </w:r>
            <w:r>
              <w:rPr>
                <w:noProof/>
                <w:webHidden/>
              </w:rPr>
              <w:tab/>
            </w:r>
            <w:r>
              <w:rPr>
                <w:noProof/>
                <w:webHidden/>
              </w:rPr>
              <w:fldChar w:fldCharType="begin"/>
            </w:r>
            <w:r>
              <w:rPr>
                <w:noProof/>
                <w:webHidden/>
              </w:rPr>
              <w:instrText xml:space="preserve"> PAGEREF _Toc219990981 \h </w:instrText>
            </w:r>
            <w:r>
              <w:rPr>
                <w:noProof/>
                <w:webHidden/>
              </w:rPr>
            </w:r>
            <w:r>
              <w:rPr>
                <w:noProof/>
                <w:webHidden/>
              </w:rPr>
              <w:fldChar w:fldCharType="separate"/>
            </w:r>
            <w:r>
              <w:rPr>
                <w:noProof/>
                <w:webHidden/>
              </w:rPr>
              <w:t>6</w:t>
            </w:r>
            <w:r>
              <w:rPr>
                <w:noProof/>
                <w:webHidden/>
              </w:rPr>
              <w:fldChar w:fldCharType="end"/>
            </w:r>
          </w:hyperlink>
        </w:p>
        <w:p w14:paraId="18F87C10" w14:textId="77777777" w:rsidR="002728AA" w:rsidRDefault="002728AA" w:rsidP="002728AA">
          <w:pPr>
            <w:pStyle w:val="TOC3"/>
            <w:tabs>
              <w:tab w:val="right" w:leader="dot" w:pos="9016"/>
            </w:tabs>
            <w:rPr>
              <w:rFonts w:asciiTheme="minorHAnsi" w:eastAsiaTheme="minorEastAsia" w:hAnsiTheme="minorHAnsi" w:cstheme="minorBidi"/>
              <w:noProof/>
              <w:kern w:val="2"/>
              <w14:ligatures w14:val="standardContextual"/>
            </w:rPr>
          </w:pPr>
          <w:hyperlink w:anchor="_Toc219990982" w:history="1">
            <w:r w:rsidRPr="00AA7151">
              <w:rPr>
                <w:rStyle w:val="Hyperlink"/>
                <w:noProof/>
              </w:rPr>
              <w:t>Priority 2 (Medium) Sub-themes</w:t>
            </w:r>
            <w:r>
              <w:rPr>
                <w:noProof/>
                <w:webHidden/>
              </w:rPr>
              <w:tab/>
            </w:r>
            <w:r>
              <w:rPr>
                <w:noProof/>
                <w:webHidden/>
              </w:rPr>
              <w:fldChar w:fldCharType="begin"/>
            </w:r>
            <w:r>
              <w:rPr>
                <w:noProof/>
                <w:webHidden/>
              </w:rPr>
              <w:instrText xml:space="preserve"> PAGEREF _Toc219990982 \h </w:instrText>
            </w:r>
            <w:r>
              <w:rPr>
                <w:noProof/>
                <w:webHidden/>
              </w:rPr>
            </w:r>
            <w:r>
              <w:rPr>
                <w:noProof/>
                <w:webHidden/>
              </w:rPr>
              <w:fldChar w:fldCharType="separate"/>
            </w:r>
            <w:r>
              <w:rPr>
                <w:noProof/>
                <w:webHidden/>
              </w:rPr>
              <w:t>6</w:t>
            </w:r>
            <w:r>
              <w:rPr>
                <w:noProof/>
                <w:webHidden/>
              </w:rPr>
              <w:fldChar w:fldCharType="end"/>
            </w:r>
          </w:hyperlink>
        </w:p>
        <w:p w14:paraId="0FBC3D58"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83" w:history="1">
            <w:r w:rsidRPr="00AA7151">
              <w:rPr>
                <w:rStyle w:val="Hyperlink"/>
                <w:noProof/>
              </w:rPr>
              <w:t>Cross-cutting Enablers</w:t>
            </w:r>
            <w:r>
              <w:rPr>
                <w:noProof/>
                <w:webHidden/>
              </w:rPr>
              <w:tab/>
            </w:r>
            <w:r>
              <w:rPr>
                <w:noProof/>
                <w:webHidden/>
              </w:rPr>
              <w:fldChar w:fldCharType="begin"/>
            </w:r>
            <w:r>
              <w:rPr>
                <w:noProof/>
                <w:webHidden/>
              </w:rPr>
              <w:instrText xml:space="preserve"> PAGEREF _Toc219990983 \h </w:instrText>
            </w:r>
            <w:r>
              <w:rPr>
                <w:noProof/>
                <w:webHidden/>
              </w:rPr>
            </w:r>
            <w:r>
              <w:rPr>
                <w:noProof/>
                <w:webHidden/>
              </w:rPr>
              <w:fldChar w:fldCharType="separate"/>
            </w:r>
            <w:r>
              <w:rPr>
                <w:noProof/>
                <w:webHidden/>
              </w:rPr>
              <w:t>7</w:t>
            </w:r>
            <w:r>
              <w:rPr>
                <w:noProof/>
                <w:webHidden/>
              </w:rPr>
              <w:fldChar w:fldCharType="end"/>
            </w:r>
          </w:hyperlink>
        </w:p>
        <w:p w14:paraId="438A100B" w14:textId="77777777" w:rsidR="002728AA" w:rsidRDefault="002728AA" w:rsidP="002728AA">
          <w:pPr>
            <w:pStyle w:val="TOC2"/>
            <w:tabs>
              <w:tab w:val="right" w:leader="dot" w:pos="9016"/>
            </w:tabs>
            <w:rPr>
              <w:rFonts w:asciiTheme="minorHAnsi" w:eastAsiaTheme="minorEastAsia" w:hAnsiTheme="minorHAnsi" w:cstheme="minorBidi"/>
              <w:noProof/>
              <w:kern w:val="2"/>
              <w14:ligatures w14:val="standardContextual"/>
            </w:rPr>
          </w:pPr>
          <w:hyperlink w:anchor="_Toc219990984" w:history="1">
            <w:r w:rsidRPr="00AA7151">
              <w:rPr>
                <w:rStyle w:val="Hyperlink"/>
                <w:noProof/>
              </w:rPr>
              <w:t>Co-production &amp; Lived Experience Leadership (17 requirements)</w:t>
            </w:r>
            <w:r>
              <w:rPr>
                <w:noProof/>
                <w:webHidden/>
              </w:rPr>
              <w:tab/>
            </w:r>
            <w:r>
              <w:rPr>
                <w:noProof/>
                <w:webHidden/>
              </w:rPr>
              <w:fldChar w:fldCharType="begin"/>
            </w:r>
            <w:r>
              <w:rPr>
                <w:noProof/>
                <w:webHidden/>
              </w:rPr>
              <w:instrText xml:space="preserve"> PAGEREF _Toc219990984 \h </w:instrText>
            </w:r>
            <w:r>
              <w:rPr>
                <w:noProof/>
                <w:webHidden/>
              </w:rPr>
            </w:r>
            <w:r>
              <w:rPr>
                <w:noProof/>
                <w:webHidden/>
              </w:rPr>
              <w:fldChar w:fldCharType="separate"/>
            </w:r>
            <w:r>
              <w:rPr>
                <w:noProof/>
                <w:webHidden/>
              </w:rPr>
              <w:t>7</w:t>
            </w:r>
            <w:r>
              <w:rPr>
                <w:noProof/>
                <w:webHidden/>
              </w:rPr>
              <w:fldChar w:fldCharType="end"/>
            </w:r>
          </w:hyperlink>
        </w:p>
        <w:p w14:paraId="22963CE1" w14:textId="77777777" w:rsidR="002728AA" w:rsidRDefault="002728AA" w:rsidP="002728AA">
          <w:pPr>
            <w:pStyle w:val="TOC2"/>
            <w:tabs>
              <w:tab w:val="right" w:leader="dot" w:pos="9016"/>
            </w:tabs>
            <w:rPr>
              <w:rFonts w:asciiTheme="minorHAnsi" w:eastAsiaTheme="minorEastAsia" w:hAnsiTheme="minorHAnsi" w:cstheme="minorBidi"/>
              <w:noProof/>
              <w:kern w:val="2"/>
              <w14:ligatures w14:val="standardContextual"/>
            </w:rPr>
          </w:pPr>
          <w:hyperlink w:anchor="_Toc219990985" w:history="1">
            <w:r w:rsidRPr="00AA7151">
              <w:rPr>
                <w:rStyle w:val="Hyperlink"/>
                <w:noProof/>
              </w:rPr>
              <w:t>Workforce Development (16 requirements)</w:t>
            </w:r>
            <w:r>
              <w:rPr>
                <w:noProof/>
                <w:webHidden/>
              </w:rPr>
              <w:tab/>
            </w:r>
            <w:r>
              <w:rPr>
                <w:noProof/>
                <w:webHidden/>
              </w:rPr>
              <w:fldChar w:fldCharType="begin"/>
            </w:r>
            <w:r>
              <w:rPr>
                <w:noProof/>
                <w:webHidden/>
              </w:rPr>
              <w:instrText xml:space="preserve"> PAGEREF _Toc219990985 \h </w:instrText>
            </w:r>
            <w:r>
              <w:rPr>
                <w:noProof/>
                <w:webHidden/>
              </w:rPr>
            </w:r>
            <w:r>
              <w:rPr>
                <w:noProof/>
                <w:webHidden/>
              </w:rPr>
              <w:fldChar w:fldCharType="separate"/>
            </w:r>
            <w:r>
              <w:rPr>
                <w:noProof/>
                <w:webHidden/>
              </w:rPr>
              <w:t>7</w:t>
            </w:r>
            <w:r>
              <w:rPr>
                <w:noProof/>
                <w:webHidden/>
              </w:rPr>
              <w:fldChar w:fldCharType="end"/>
            </w:r>
          </w:hyperlink>
        </w:p>
        <w:p w14:paraId="78AA5721" w14:textId="77777777" w:rsidR="002728AA" w:rsidRDefault="002728AA" w:rsidP="002728AA">
          <w:pPr>
            <w:pStyle w:val="TOC2"/>
            <w:tabs>
              <w:tab w:val="right" w:leader="dot" w:pos="9016"/>
            </w:tabs>
            <w:rPr>
              <w:rFonts w:asciiTheme="minorHAnsi" w:eastAsiaTheme="minorEastAsia" w:hAnsiTheme="minorHAnsi" w:cstheme="minorBidi"/>
              <w:noProof/>
              <w:kern w:val="2"/>
              <w14:ligatures w14:val="standardContextual"/>
            </w:rPr>
          </w:pPr>
          <w:hyperlink w:anchor="_Toc219990986" w:history="1">
            <w:r w:rsidRPr="00AA7151">
              <w:rPr>
                <w:rStyle w:val="Hyperlink"/>
                <w:noProof/>
              </w:rPr>
              <w:t>Governance &amp; Infrastructure (7 requirements)</w:t>
            </w:r>
            <w:r>
              <w:rPr>
                <w:noProof/>
                <w:webHidden/>
              </w:rPr>
              <w:tab/>
            </w:r>
            <w:r>
              <w:rPr>
                <w:noProof/>
                <w:webHidden/>
              </w:rPr>
              <w:fldChar w:fldCharType="begin"/>
            </w:r>
            <w:r>
              <w:rPr>
                <w:noProof/>
                <w:webHidden/>
              </w:rPr>
              <w:instrText xml:space="preserve"> PAGEREF _Toc219990986 \h </w:instrText>
            </w:r>
            <w:r>
              <w:rPr>
                <w:noProof/>
                <w:webHidden/>
              </w:rPr>
            </w:r>
            <w:r>
              <w:rPr>
                <w:noProof/>
                <w:webHidden/>
              </w:rPr>
              <w:fldChar w:fldCharType="separate"/>
            </w:r>
            <w:r>
              <w:rPr>
                <w:noProof/>
                <w:webHidden/>
              </w:rPr>
              <w:t>8</w:t>
            </w:r>
            <w:r>
              <w:rPr>
                <w:noProof/>
                <w:webHidden/>
              </w:rPr>
              <w:fldChar w:fldCharType="end"/>
            </w:r>
          </w:hyperlink>
        </w:p>
        <w:p w14:paraId="39DD938F" w14:textId="77777777" w:rsidR="002728AA" w:rsidRDefault="002728AA" w:rsidP="002728AA">
          <w:pPr>
            <w:pStyle w:val="TOC2"/>
            <w:tabs>
              <w:tab w:val="right" w:leader="dot" w:pos="9016"/>
            </w:tabs>
            <w:rPr>
              <w:rFonts w:asciiTheme="minorHAnsi" w:eastAsiaTheme="minorEastAsia" w:hAnsiTheme="minorHAnsi" w:cstheme="minorBidi"/>
              <w:noProof/>
              <w:kern w:val="2"/>
              <w14:ligatures w14:val="standardContextual"/>
            </w:rPr>
          </w:pPr>
          <w:hyperlink w:anchor="_Toc219990987" w:history="1">
            <w:r w:rsidRPr="00AA7151">
              <w:rPr>
                <w:rStyle w:val="Hyperlink"/>
                <w:noProof/>
              </w:rPr>
              <w:t>Policy Context (21 requirements)</w:t>
            </w:r>
            <w:r>
              <w:rPr>
                <w:noProof/>
                <w:webHidden/>
              </w:rPr>
              <w:tab/>
            </w:r>
            <w:r>
              <w:rPr>
                <w:noProof/>
                <w:webHidden/>
              </w:rPr>
              <w:fldChar w:fldCharType="begin"/>
            </w:r>
            <w:r>
              <w:rPr>
                <w:noProof/>
                <w:webHidden/>
              </w:rPr>
              <w:instrText xml:space="preserve"> PAGEREF _Toc219990987 \h </w:instrText>
            </w:r>
            <w:r>
              <w:rPr>
                <w:noProof/>
                <w:webHidden/>
              </w:rPr>
            </w:r>
            <w:r>
              <w:rPr>
                <w:noProof/>
                <w:webHidden/>
              </w:rPr>
              <w:fldChar w:fldCharType="separate"/>
            </w:r>
            <w:r>
              <w:rPr>
                <w:noProof/>
                <w:webHidden/>
              </w:rPr>
              <w:t>8</w:t>
            </w:r>
            <w:r>
              <w:rPr>
                <w:noProof/>
                <w:webHidden/>
              </w:rPr>
              <w:fldChar w:fldCharType="end"/>
            </w:r>
          </w:hyperlink>
        </w:p>
        <w:p w14:paraId="0472B77C"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88" w:history="1">
            <w:r w:rsidRPr="00AA7151">
              <w:rPr>
                <w:rStyle w:val="Hyperlink"/>
                <w:noProof/>
              </w:rPr>
              <w:t>Priority Framework</w:t>
            </w:r>
            <w:r>
              <w:rPr>
                <w:noProof/>
                <w:webHidden/>
              </w:rPr>
              <w:tab/>
            </w:r>
            <w:r>
              <w:rPr>
                <w:noProof/>
                <w:webHidden/>
              </w:rPr>
              <w:fldChar w:fldCharType="begin"/>
            </w:r>
            <w:r>
              <w:rPr>
                <w:noProof/>
                <w:webHidden/>
              </w:rPr>
              <w:instrText xml:space="preserve"> PAGEREF _Toc219990988 \h </w:instrText>
            </w:r>
            <w:r>
              <w:rPr>
                <w:noProof/>
                <w:webHidden/>
              </w:rPr>
            </w:r>
            <w:r>
              <w:rPr>
                <w:noProof/>
                <w:webHidden/>
              </w:rPr>
              <w:fldChar w:fldCharType="separate"/>
            </w:r>
            <w:r>
              <w:rPr>
                <w:noProof/>
                <w:webHidden/>
              </w:rPr>
              <w:t>8</w:t>
            </w:r>
            <w:r>
              <w:rPr>
                <w:noProof/>
                <w:webHidden/>
              </w:rPr>
              <w:fldChar w:fldCharType="end"/>
            </w:r>
          </w:hyperlink>
        </w:p>
        <w:p w14:paraId="3FF5BE0E"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89" w:history="1">
            <w:r w:rsidRPr="00AA7151">
              <w:rPr>
                <w:rStyle w:val="Hyperlink"/>
                <w:noProof/>
              </w:rPr>
              <w:t>Implications for Programme Delivery</w:t>
            </w:r>
            <w:r>
              <w:rPr>
                <w:noProof/>
                <w:webHidden/>
              </w:rPr>
              <w:tab/>
            </w:r>
            <w:r>
              <w:rPr>
                <w:noProof/>
                <w:webHidden/>
              </w:rPr>
              <w:fldChar w:fldCharType="begin"/>
            </w:r>
            <w:r>
              <w:rPr>
                <w:noProof/>
                <w:webHidden/>
              </w:rPr>
              <w:instrText xml:space="preserve"> PAGEREF _Toc219990989 \h </w:instrText>
            </w:r>
            <w:r>
              <w:rPr>
                <w:noProof/>
                <w:webHidden/>
              </w:rPr>
            </w:r>
            <w:r>
              <w:rPr>
                <w:noProof/>
                <w:webHidden/>
              </w:rPr>
              <w:fldChar w:fldCharType="separate"/>
            </w:r>
            <w:r>
              <w:rPr>
                <w:noProof/>
                <w:webHidden/>
              </w:rPr>
              <w:t>9</w:t>
            </w:r>
            <w:r>
              <w:rPr>
                <w:noProof/>
                <w:webHidden/>
              </w:rPr>
              <w:fldChar w:fldCharType="end"/>
            </w:r>
          </w:hyperlink>
        </w:p>
        <w:p w14:paraId="5188E6CB" w14:textId="77777777" w:rsidR="002728AA" w:rsidRDefault="002728AA" w:rsidP="002728AA">
          <w:pPr>
            <w:pStyle w:val="TOC1"/>
            <w:tabs>
              <w:tab w:val="right" w:leader="dot" w:pos="9016"/>
            </w:tabs>
            <w:rPr>
              <w:rFonts w:asciiTheme="minorHAnsi" w:eastAsiaTheme="minorEastAsia" w:hAnsiTheme="minorHAnsi" w:cstheme="minorBidi"/>
              <w:noProof/>
              <w:kern w:val="2"/>
              <w14:ligatures w14:val="standardContextual"/>
            </w:rPr>
          </w:pPr>
          <w:hyperlink w:anchor="_Toc219990990" w:history="1">
            <w:r w:rsidRPr="00AA7151">
              <w:rPr>
                <w:rStyle w:val="Hyperlink"/>
                <w:noProof/>
              </w:rPr>
              <w:t>References</w:t>
            </w:r>
            <w:r>
              <w:rPr>
                <w:noProof/>
                <w:webHidden/>
              </w:rPr>
              <w:tab/>
            </w:r>
            <w:r>
              <w:rPr>
                <w:noProof/>
                <w:webHidden/>
              </w:rPr>
              <w:fldChar w:fldCharType="begin"/>
            </w:r>
            <w:r>
              <w:rPr>
                <w:noProof/>
                <w:webHidden/>
              </w:rPr>
              <w:instrText xml:space="preserve"> PAGEREF _Toc219990990 \h </w:instrText>
            </w:r>
            <w:r>
              <w:rPr>
                <w:noProof/>
                <w:webHidden/>
              </w:rPr>
            </w:r>
            <w:r>
              <w:rPr>
                <w:noProof/>
                <w:webHidden/>
              </w:rPr>
              <w:fldChar w:fldCharType="separate"/>
            </w:r>
            <w:r>
              <w:rPr>
                <w:noProof/>
                <w:webHidden/>
              </w:rPr>
              <w:t>9</w:t>
            </w:r>
            <w:r>
              <w:rPr>
                <w:noProof/>
                <w:webHidden/>
              </w:rPr>
              <w:fldChar w:fldCharType="end"/>
            </w:r>
          </w:hyperlink>
        </w:p>
        <w:p w14:paraId="0C0ACD12" w14:textId="77777777" w:rsidR="002728AA" w:rsidRDefault="002728AA" w:rsidP="002728AA">
          <w:pPr>
            <w:spacing w:before="360"/>
            <w:rPr>
              <w:b/>
              <w:bCs/>
              <w:noProof/>
            </w:rPr>
          </w:pPr>
          <w:r>
            <w:rPr>
              <w:b/>
              <w:bCs/>
              <w:noProof/>
            </w:rPr>
            <w:fldChar w:fldCharType="end"/>
          </w:r>
        </w:p>
        <w:p w14:paraId="1569DE6B" w14:textId="77777777" w:rsidR="002728AA" w:rsidRDefault="002728AA" w:rsidP="002728AA">
          <w:pPr>
            <w:spacing w:before="360"/>
            <w:rPr>
              <w:b/>
              <w:bCs/>
              <w:noProof/>
            </w:rPr>
          </w:pPr>
        </w:p>
        <w:p w14:paraId="19866F2A" w14:textId="77777777" w:rsidR="002728AA" w:rsidRPr="005B7F55" w:rsidRDefault="002728AA" w:rsidP="002728AA">
          <w:pPr>
            <w:spacing w:before="360"/>
          </w:pPr>
        </w:p>
      </w:sdtContent>
    </w:sdt>
    <w:p w14:paraId="55634BE3" w14:textId="77777777" w:rsidR="002728AA" w:rsidRDefault="002728AA" w:rsidP="002728AA">
      <w:pPr>
        <w:pStyle w:val="Heading1"/>
      </w:pPr>
      <w:bookmarkStart w:id="1" w:name="_Toc219990971"/>
      <w:r>
        <w:lastRenderedPageBreak/>
        <w:t>Executive Summary</w:t>
      </w:r>
      <w:bookmarkEnd w:id="1"/>
    </w:p>
    <w:p w14:paraId="5D63350E" w14:textId="77777777" w:rsidR="002728AA" w:rsidRDefault="002728AA" w:rsidP="002728AA">
      <w:pPr>
        <w:spacing w:before="360"/>
      </w:pPr>
      <w:r>
        <w:t>This document synthesises the main findings from a comprehensive policy requirements matrix that maps overlapping and aligned requirements across six key national and regional policy documents concerning autism and learning disability services. The analysis reveals substantial convergence across these documents, with consistent emphasis on mandatory training, reasonable adjustments, co-production with people with lived experience, reducing restrictive practices, and shifting towards community-based preventative support models.</w:t>
      </w:r>
    </w:p>
    <w:p w14:paraId="41F74203" w14:textId="77777777" w:rsidR="002728AA" w:rsidRPr="00A62446" w:rsidRDefault="002728AA" w:rsidP="002728AA">
      <w:pPr>
        <w:spacing w:before="360"/>
        <w:rPr>
          <w:b/>
          <w:bCs/>
        </w:rPr>
      </w:pPr>
      <w:r w:rsidRPr="00A62446">
        <w:rPr>
          <w:b/>
          <w:bCs/>
        </w:rPr>
        <w:t xml:space="preserve">The six documents analysed were: </w:t>
      </w:r>
    </w:p>
    <w:p w14:paraId="45AC4475" w14:textId="77777777" w:rsidR="002728AA" w:rsidRDefault="002728AA" w:rsidP="002728AA">
      <w:pPr>
        <w:pStyle w:val="ListParagraph"/>
        <w:numPr>
          <w:ilvl w:val="0"/>
          <w:numId w:val="6"/>
        </w:numPr>
        <w:spacing w:before="360"/>
      </w:pPr>
      <w:r>
        <w:t xml:space="preserve">NHS England's (2023) </w:t>
      </w:r>
      <w:r w:rsidRPr="00616CE2">
        <w:rPr>
          <w:i/>
          <w:iCs/>
        </w:rPr>
        <w:t xml:space="preserve">Meeting the Needs of </w:t>
      </w:r>
      <w:r>
        <w:rPr>
          <w:i/>
          <w:iCs/>
        </w:rPr>
        <w:t>Autistic</w:t>
      </w:r>
      <w:r w:rsidRPr="00616CE2">
        <w:rPr>
          <w:i/>
          <w:iCs/>
        </w:rPr>
        <w:t xml:space="preserve"> Adults in Mental Health Services</w:t>
      </w:r>
      <w:r>
        <w:t xml:space="preserve"> (</w:t>
      </w:r>
      <w:proofErr w:type="spellStart"/>
      <w:r w:rsidRPr="00A62446">
        <w:rPr>
          <w:b/>
          <w:bCs/>
        </w:rPr>
        <w:t>MNAA</w:t>
      </w:r>
      <w:proofErr w:type="spellEnd"/>
      <w:proofErr w:type="gramStart"/>
      <w:r>
        <w:t>);</w:t>
      </w:r>
      <w:proofErr w:type="gramEnd"/>
      <w:r>
        <w:t xml:space="preserve"> </w:t>
      </w:r>
    </w:p>
    <w:p w14:paraId="7CCB0E66" w14:textId="77777777" w:rsidR="002728AA" w:rsidRDefault="002728AA" w:rsidP="002728AA">
      <w:pPr>
        <w:pStyle w:val="ListParagraph"/>
        <w:numPr>
          <w:ilvl w:val="0"/>
          <w:numId w:val="6"/>
        </w:numPr>
        <w:spacing w:before="360"/>
      </w:pPr>
      <w:r>
        <w:t xml:space="preserve">NHS England's (2018) </w:t>
      </w:r>
      <w:r w:rsidRPr="00616CE2">
        <w:rPr>
          <w:i/>
          <w:iCs/>
        </w:rPr>
        <w:t>Learning Disability Improvement Standards</w:t>
      </w:r>
      <w:r>
        <w:t xml:space="preserve"> (</w:t>
      </w:r>
      <w:proofErr w:type="spellStart"/>
      <w:r w:rsidRPr="00A62446">
        <w:rPr>
          <w:b/>
          <w:bCs/>
        </w:rPr>
        <w:t>LDIS</w:t>
      </w:r>
      <w:proofErr w:type="spellEnd"/>
      <w:proofErr w:type="gramStart"/>
      <w:r>
        <w:t>);</w:t>
      </w:r>
      <w:proofErr w:type="gramEnd"/>
      <w:r>
        <w:t xml:space="preserve"> </w:t>
      </w:r>
    </w:p>
    <w:p w14:paraId="14F44D5A" w14:textId="77777777" w:rsidR="002728AA" w:rsidRDefault="002728AA" w:rsidP="002728AA">
      <w:pPr>
        <w:pStyle w:val="ListParagraph"/>
        <w:numPr>
          <w:ilvl w:val="0"/>
          <w:numId w:val="6"/>
        </w:numPr>
        <w:spacing w:before="360"/>
      </w:pPr>
      <w:r>
        <w:t xml:space="preserve">NHS England's (2025) </w:t>
      </w:r>
      <w:r w:rsidRPr="00616CE2">
        <w:rPr>
          <w:i/>
          <w:iCs/>
        </w:rPr>
        <w:t>Autism-informed Inpatient Care</w:t>
      </w:r>
      <w:r>
        <w:t xml:space="preserve"> (</w:t>
      </w:r>
      <w:proofErr w:type="spellStart"/>
      <w:r w:rsidRPr="00A62446">
        <w:rPr>
          <w:b/>
          <w:bCs/>
        </w:rPr>
        <w:t>AIIC</w:t>
      </w:r>
      <w:proofErr w:type="spellEnd"/>
      <w:proofErr w:type="gramStart"/>
      <w:r>
        <w:t>);</w:t>
      </w:r>
      <w:proofErr w:type="gramEnd"/>
      <w:r>
        <w:t xml:space="preserve"> </w:t>
      </w:r>
    </w:p>
    <w:p w14:paraId="7B48378E" w14:textId="77777777" w:rsidR="002728AA" w:rsidRDefault="002728AA" w:rsidP="002728AA">
      <w:pPr>
        <w:pStyle w:val="ListParagraph"/>
        <w:numPr>
          <w:ilvl w:val="0"/>
          <w:numId w:val="6"/>
        </w:numPr>
        <w:spacing w:before="360"/>
      </w:pPr>
      <w:r>
        <w:t xml:space="preserve">NHS England's (2019) </w:t>
      </w:r>
      <w:r w:rsidRPr="00616CE2">
        <w:rPr>
          <w:i/>
          <w:iCs/>
        </w:rPr>
        <w:t>NHS Long Term Plan</w:t>
      </w:r>
      <w:r>
        <w:t xml:space="preserve"> (</w:t>
      </w:r>
      <w:proofErr w:type="spellStart"/>
      <w:r w:rsidRPr="00A62446">
        <w:rPr>
          <w:b/>
          <w:bCs/>
        </w:rPr>
        <w:t>NLTP</w:t>
      </w:r>
      <w:proofErr w:type="spellEnd"/>
      <w:proofErr w:type="gramStart"/>
      <w:r>
        <w:t>);</w:t>
      </w:r>
      <w:proofErr w:type="gramEnd"/>
      <w:r>
        <w:t xml:space="preserve"> </w:t>
      </w:r>
    </w:p>
    <w:p w14:paraId="1C8835D4" w14:textId="77777777" w:rsidR="002728AA" w:rsidRDefault="002728AA" w:rsidP="002728AA">
      <w:pPr>
        <w:pStyle w:val="ListParagraph"/>
        <w:numPr>
          <w:ilvl w:val="0"/>
          <w:numId w:val="6"/>
        </w:numPr>
        <w:spacing w:before="360"/>
      </w:pPr>
      <w:r>
        <w:t xml:space="preserve">Kent and Medway NHS and Social Care Partnership Trust's (2024) </w:t>
      </w:r>
      <w:r w:rsidRPr="00616CE2">
        <w:rPr>
          <w:i/>
          <w:iCs/>
        </w:rPr>
        <w:t>Learning Disability and Autism Programme Plan</w:t>
      </w:r>
      <w:r>
        <w:t xml:space="preserve"> (</w:t>
      </w:r>
      <w:proofErr w:type="spellStart"/>
      <w:r w:rsidRPr="00A62446">
        <w:rPr>
          <w:b/>
          <w:bCs/>
        </w:rPr>
        <w:t>KMMHS</w:t>
      </w:r>
      <w:proofErr w:type="spellEnd"/>
      <w:proofErr w:type="gramStart"/>
      <w:r>
        <w:t>);</w:t>
      </w:r>
      <w:proofErr w:type="gramEnd"/>
      <w:r>
        <w:t xml:space="preserve"> </w:t>
      </w:r>
    </w:p>
    <w:p w14:paraId="3085C794" w14:textId="77777777" w:rsidR="002728AA" w:rsidRDefault="002728AA" w:rsidP="002728AA">
      <w:pPr>
        <w:pStyle w:val="ListParagraph"/>
        <w:numPr>
          <w:ilvl w:val="0"/>
          <w:numId w:val="6"/>
        </w:numPr>
        <w:spacing w:before="360"/>
      </w:pPr>
      <w:r>
        <w:t xml:space="preserve">and the House of Lords Autism Act 2009 Committee's (2025) </w:t>
      </w:r>
      <w:r w:rsidRPr="00616CE2">
        <w:rPr>
          <w:i/>
          <w:iCs/>
        </w:rPr>
        <w:t>Time to Deliver: The Autism Act 2009 and the New Autism Strategy</w:t>
      </w:r>
      <w:r>
        <w:t xml:space="preserve"> (</w:t>
      </w:r>
      <w:r w:rsidRPr="00A62446">
        <w:rPr>
          <w:b/>
          <w:bCs/>
        </w:rPr>
        <w:t>AAAS</w:t>
      </w:r>
      <w:r>
        <w:t>).</w:t>
      </w:r>
    </w:p>
    <w:p w14:paraId="17465023" w14:textId="77777777" w:rsidR="002728AA" w:rsidRDefault="002728AA" w:rsidP="002728AA">
      <w:pPr>
        <w:spacing w:before="360"/>
      </w:pPr>
      <w:r>
        <w:t xml:space="preserve">This document maps 393 verbatim requirements extracted from six key policy documents to the three workstreams established in the </w:t>
      </w:r>
      <w:proofErr w:type="spellStart"/>
      <w:r>
        <w:t>KMMH</w:t>
      </w:r>
      <w:proofErr w:type="spellEnd"/>
      <w:r>
        <w:t xml:space="preserve"> Learning Disability and Autism Programme Plan 2025/26 (</w:t>
      </w:r>
      <w:proofErr w:type="spellStart"/>
      <w:r>
        <w:t>KMMH</w:t>
      </w:r>
      <w:proofErr w:type="spellEnd"/>
      <w:r>
        <w:t>, 2024). The programme's workstream structure provides a framework for prioritising and organising improvement activities:</w:t>
      </w:r>
    </w:p>
    <w:p w14:paraId="7F7CFA3F" w14:textId="77777777" w:rsidR="002728AA" w:rsidRDefault="002728AA" w:rsidP="002728AA">
      <w:pPr>
        <w:pStyle w:val="ListParagraph"/>
        <w:numPr>
          <w:ilvl w:val="0"/>
          <w:numId w:val="2"/>
        </w:numPr>
        <w:spacing w:before="360"/>
      </w:pPr>
      <w:r>
        <w:rPr>
          <w:b/>
          <w:bCs/>
        </w:rPr>
        <w:t xml:space="preserve">Workstream 1: Areas of Immediate Need </w:t>
      </w:r>
      <w:r>
        <w:t xml:space="preserve">– reactive, crisis-driven work that the programme aims to reduce over time </w:t>
      </w:r>
    </w:p>
    <w:p w14:paraId="7899312E" w14:textId="77777777" w:rsidR="002728AA" w:rsidRDefault="002728AA" w:rsidP="002728AA">
      <w:pPr>
        <w:pStyle w:val="ListParagraph"/>
        <w:numPr>
          <w:ilvl w:val="0"/>
          <w:numId w:val="2"/>
        </w:numPr>
        <w:spacing w:before="360"/>
      </w:pPr>
      <w:r>
        <w:rPr>
          <w:b/>
          <w:bCs/>
        </w:rPr>
        <w:t xml:space="preserve">Workstream 2: Health Inequality </w:t>
      </w:r>
      <w:r>
        <w:t>– proactive, strategic work addressing disparities in health outcomes</w:t>
      </w:r>
    </w:p>
    <w:p w14:paraId="280099F0" w14:textId="77777777" w:rsidR="002728AA" w:rsidRDefault="002728AA" w:rsidP="002728AA">
      <w:pPr>
        <w:pStyle w:val="ListParagraph"/>
        <w:numPr>
          <w:ilvl w:val="0"/>
          <w:numId w:val="2"/>
        </w:numPr>
        <w:spacing w:before="360"/>
      </w:pPr>
      <w:r>
        <w:rPr>
          <w:b/>
          <w:bCs/>
        </w:rPr>
        <w:t xml:space="preserve">Workstream 3: Reasonable Adjustments </w:t>
      </w:r>
      <w:r>
        <w:t>– proactive, strategic work making services accessible and autism-informed</w:t>
      </w:r>
    </w:p>
    <w:p w14:paraId="3A1E5924" w14:textId="77777777" w:rsidR="002728AA" w:rsidRDefault="002728AA" w:rsidP="002728AA">
      <w:pPr>
        <w:spacing w:before="360"/>
      </w:pPr>
      <w:r>
        <w:lastRenderedPageBreak/>
        <w:t>The programme's strategic logic – investing in Workstreams 2 and 3 to gradually reduce demand on Workstream 1 – is strongly validated by the policy mapping. The largest concentration of requirements falls under Workstream 3: Reasonable Adjustments (155 requirements, 39%), followed by Workstream 2: Health Inequality (110 requirements, 28%), with Workstream 1: Areas of Immediate Need containing 67 requirements (17%). Cross-cutting enablers (co-production, workforce development, governance, and policy context) account for 61 requirements (16%).</w:t>
      </w:r>
    </w:p>
    <w:p w14:paraId="394E8276" w14:textId="77777777" w:rsidR="002728AA" w:rsidRDefault="002728AA" w:rsidP="002728AA">
      <w:pPr>
        <w:pStyle w:val="Heading2"/>
        <w:spacing w:before="360"/>
      </w:pPr>
      <w:bookmarkStart w:id="2" w:name="_Toc219990972"/>
      <w:r>
        <w:t>Requirements by Workstream</w:t>
      </w:r>
      <w:bookmarkEnd w:id="2"/>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55"/>
        <w:gridCol w:w="714"/>
        <w:gridCol w:w="2154"/>
      </w:tblGrid>
      <w:tr w:rsidR="002728AA" w14:paraId="797A99A6" w14:textId="77777777" w:rsidTr="004D7B1D">
        <w:trPr>
          <w:tblHeader/>
        </w:trPr>
        <w:tc>
          <w:tcPr>
            <w:tcW w:w="0" w:type="auto"/>
            <w:shd w:val="clear" w:color="auto" w:fill="1F4E79"/>
          </w:tcPr>
          <w:p w14:paraId="13EFAE2E" w14:textId="77777777" w:rsidR="002728AA" w:rsidRDefault="002728AA" w:rsidP="004D7B1D">
            <w:pPr>
              <w:spacing w:before="360"/>
            </w:pPr>
            <w:r>
              <w:rPr>
                <w:b/>
                <w:bCs/>
                <w:color w:val="FFFFFF"/>
              </w:rPr>
              <w:t>Workstream</w:t>
            </w:r>
          </w:p>
        </w:tc>
        <w:tc>
          <w:tcPr>
            <w:tcW w:w="0" w:type="auto"/>
            <w:shd w:val="clear" w:color="auto" w:fill="1F4E79"/>
          </w:tcPr>
          <w:p w14:paraId="6CF9CEDC" w14:textId="77777777" w:rsidR="002728AA" w:rsidRDefault="002728AA" w:rsidP="004D7B1D">
            <w:pPr>
              <w:spacing w:before="360"/>
              <w:jc w:val="center"/>
            </w:pPr>
            <w:r>
              <w:rPr>
                <w:b/>
                <w:bCs/>
                <w:color w:val="FFFFFF"/>
              </w:rPr>
              <w:t>Count</w:t>
            </w:r>
          </w:p>
        </w:tc>
        <w:tc>
          <w:tcPr>
            <w:tcW w:w="0" w:type="auto"/>
            <w:shd w:val="clear" w:color="auto" w:fill="1F4E79"/>
          </w:tcPr>
          <w:p w14:paraId="4681B7F2" w14:textId="77777777" w:rsidR="002728AA" w:rsidRDefault="002728AA" w:rsidP="004D7B1D">
            <w:pPr>
              <w:spacing w:before="360"/>
            </w:pPr>
            <w:r>
              <w:rPr>
                <w:b/>
                <w:bCs/>
                <w:color w:val="FFFFFF"/>
              </w:rPr>
              <w:t>Strategic Direction</w:t>
            </w:r>
          </w:p>
        </w:tc>
      </w:tr>
      <w:tr w:rsidR="002728AA" w14:paraId="5D9A7758" w14:textId="77777777" w:rsidTr="004D7B1D">
        <w:tc>
          <w:tcPr>
            <w:tcW w:w="0" w:type="auto"/>
            <w:shd w:val="clear" w:color="auto" w:fill="F4CCCC"/>
          </w:tcPr>
          <w:p w14:paraId="6F65743B" w14:textId="77777777" w:rsidR="002728AA" w:rsidRDefault="002728AA" w:rsidP="004D7B1D">
            <w:pPr>
              <w:spacing w:before="360"/>
            </w:pPr>
            <w:proofErr w:type="spellStart"/>
            <w:r>
              <w:rPr>
                <w:b/>
                <w:bCs/>
              </w:rPr>
              <w:t>WS1</w:t>
            </w:r>
            <w:proofErr w:type="spellEnd"/>
            <w:r>
              <w:rPr>
                <w:b/>
                <w:bCs/>
              </w:rPr>
              <w:t>: Areas of Immediate Need</w:t>
            </w:r>
          </w:p>
        </w:tc>
        <w:tc>
          <w:tcPr>
            <w:tcW w:w="0" w:type="auto"/>
          </w:tcPr>
          <w:p w14:paraId="2228F040" w14:textId="77777777" w:rsidR="002728AA" w:rsidRDefault="002728AA" w:rsidP="004D7B1D">
            <w:pPr>
              <w:spacing w:before="360"/>
              <w:jc w:val="center"/>
            </w:pPr>
            <w:r>
              <w:t>67</w:t>
            </w:r>
          </w:p>
        </w:tc>
        <w:tc>
          <w:tcPr>
            <w:tcW w:w="0" w:type="auto"/>
          </w:tcPr>
          <w:p w14:paraId="1795819F" w14:textId="77777777" w:rsidR="002728AA" w:rsidRDefault="002728AA" w:rsidP="004D7B1D">
            <w:pPr>
              <w:spacing w:before="360"/>
            </w:pPr>
            <w:r>
              <w:t>Aim to REDUCE</w:t>
            </w:r>
          </w:p>
        </w:tc>
      </w:tr>
      <w:tr w:rsidR="002728AA" w14:paraId="220B3698" w14:textId="77777777" w:rsidTr="004D7B1D">
        <w:tc>
          <w:tcPr>
            <w:tcW w:w="0" w:type="auto"/>
            <w:shd w:val="clear" w:color="auto" w:fill="FCE5CD"/>
          </w:tcPr>
          <w:p w14:paraId="09E148DC" w14:textId="77777777" w:rsidR="002728AA" w:rsidRDefault="002728AA" w:rsidP="004D7B1D">
            <w:pPr>
              <w:spacing w:before="360"/>
            </w:pPr>
            <w:proofErr w:type="spellStart"/>
            <w:r>
              <w:rPr>
                <w:b/>
                <w:bCs/>
              </w:rPr>
              <w:t>WS2</w:t>
            </w:r>
            <w:proofErr w:type="spellEnd"/>
            <w:r>
              <w:rPr>
                <w:b/>
                <w:bCs/>
              </w:rPr>
              <w:t>: Health Inequality</w:t>
            </w:r>
          </w:p>
        </w:tc>
        <w:tc>
          <w:tcPr>
            <w:tcW w:w="0" w:type="auto"/>
          </w:tcPr>
          <w:p w14:paraId="22B4C3E4" w14:textId="77777777" w:rsidR="002728AA" w:rsidRDefault="002728AA" w:rsidP="004D7B1D">
            <w:pPr>
              <w:spacing w:before="360"/>
              <w:jc w:val="center"/>
            </w:pPr>
            <w:r>
              <w:t>110</w:t>
            </w:r>
          </w:p>
        </w:tc>
        <w:tc>
          <w:tcPr>
            <w:tcW w:w="0" w:type="auto"/>
          </w:tcPr>
          <w:p w14:paraId="0BCBBC80" w14:textId="77777777" w:rsidR="002728AA" w:rsidRDefault="002728AA" w:rsidP="004D7B1D">
            <w:pPr>
              <w:spacing w:before="360"/>
            </w:pPr>
            <w:r>
              <w:t>Invest &amp; expand</w:t>
            </w:r>
          </w:p>
        </w:tc>
      </w:tr>
      <w:tr w:rsidR="002728AA" w14:paraId="11752D3D" w14:textId="77777777" w:rsidTr="004D7B1D">
        <w:tc>
          <w:tcPr>
            <w:tcW w:w="0" w:type="auto"/>
            <w:shd w:val="clear" w:color="auto" w:fill="D9EAD3"/>
          </w:tcPr>
          <w:p w14:paraId="233A329F" w14:textId="77777777" w:rsidR="002728AA" w:rsidRDefault="002728AA" w:rsidP="004D7B1D">
            <w:pPr>
              <w:spacing w:before="360"/>
            </w:pPr>
            <w:proofErr w:type="spellStart"/>
            <w:r>
              <w:rPr>
                <w:b/>
                <w:bCs/>
              </w:rPr>
              <w:t>WS3</w:t>
            </w:r>
            <w:proofErr w:type="spellEnd"/>
            <w:r>
              <w:rPr>
                <w:b/>
                <w:bCs/>
              </w:rPr>
              <w:t>: Reasonable Adjustments</w:t>
            </w:r>
          </w:p>
        </w:tc>
        <w:tc>
          <w:tcPr>
            <w:tcW w:w="0" w:type="auto"/>
          </w:tcPr>
          <w:p w14:paraId="0AB4C998" w14:textId="77777777" w:rsidR="002728AA" w:rsidRDefault="002728AA" w:rsidP="004D7B1D">
            <w:pPr>
              <w:spacing w:before="360"/>
              <w:jc w:val="center"/>
            </w:pPr>
            <w:r>
              <w:t>155</w:t>
            </w:r>
          </w:p>
        </w:tc>
        <w:tc>
          <w:tcPr>
            <w:tcW w:w="0" w:type="auto"/>
          </w:tcPr>
          <w:p w14:paraId="54A678CD" w14:textId="77777777" w:rsidR="002728AA" w:rsidRDefault="002728AA" w:rsidP="004D7B1D">
            <w:pPr>
              <w:spacing w:before="360"/>
            </w:pPr>
            <w:r>
              <w:t>Invest &amp; expand</w:t>
            </w:r>
          </w:p>
        </w:tc>
      </w:tr>
      <w:tr w:rsidR="002728AA" w14:paraId="7982D979" w14:textId="77777777" w:rsidTr="004D7B1D">
        <w:tc>
          <w:tcPr>
            <w:tcW w:w="0" w:type="auto"/>
            <w:shd w:val="clear" w:color="auto" w:fill="D6EAF8"/>
          </w:tcPr>
          <w:p w14:paraId="57552BB1" w14:textId="77777777" w:rsidR="002728AA" w:rsidRDefault="002728AA" w:rsidP="004D7B1D">
            <w:pPr>
              <w:spacing w:before="360"/>
            </w:pPr>
            <w:r>
              <w:rPr>
                <w:b/>
                <w:bCs/>
              </w:rPr>
              <w:t>Cross-cutting Enablers</w:t>
            </w:r>
          </w:p>
        </w:tc>
        <w:tc>
          <w:tcPr>
            <w:tcW w:w="0" w:type="auto"/>
          </w:tcPr>
          <w:p w14:paraId="7979F76B" w14:textId="77777777" w:rsidR="002728AA" w:rsidRDefault="002728AA" w:rsidP="004D7B1D">
            <w:pPr>
              <w:spacing w:before="360"/>
              <w:jc w:val="center"/>
            </w:pPr>
            <w:r>
              <w:t>61</w:t>
            </w:r>
          </w:p>
        </w:tc>
        <w:tc>
          <w:tcPr>
            <w:tcW w:w="0" w:type="auto"/>
          </w:tcPr>
          <w:p w14:paraId="5715C712" w14:textId="77777777" w:rsidR="002728AA" w:rsidRDefault="002728AA" w:rsidP="004D7B1D">
            <w:pPr>
              <w:spacing w:before="360"/>
            </w:pPr>
            <w:r>
              <w:t>Foundation for all</w:t>
            </w:r>
          </w:p>
        </w:tc>
      </w:tr>
      <w:tr w:rsidR="002728AA" w14:paraId="43928E27" w14:textId="77777777" w:rsidTr="004D7B1D">
        <w:tc>
          <w:tcPr>
            <w:tcW w:w="0" w:type="auto"/>
          </w:tcPr>
          <w:p w14:paraId="2BDDF24A" w14:textId="77777777" w:rsidR="002728AA" w:rsidRDefault="002728AA" w:rsidP="004D7B1D">
            <w:pPr>
              <w:spacing w:before="360"/>
            </w:pPr>
            <w:r>
              <w:rPr>
                <w:b/>
                <w:bCs/>
              </w:rPr>
              <w:t>TOTAL</w:t>
            </w:r>
          </w:p>
        </w:tc>
        <w:tc>
          <w:tcPr>
            <w:tcW w:w="0" w:type="auto"/>
          </w:tcPr>
          <w:p w14:paraId="7CA4DA1E" w14:textId="77777777" w:rsidR="002728AA" w:rsidRDefault="002728AA" w:rsidP="004D7B1D">
            <w:pPr>
              <w:spacing w:before="360"/>
              <w:jc w:val="center"/>
            </w:pPr>
            <w:r>
              <w:rPr>
                <w:b/>
                <w:bCs/>
              </w:rPr>
              <w:t>393</w:t>
            </w:r>
          </w:p>
        </w:tc>
        <w:tc>
          <w:tcPr>
            <w:tcW w:w="0" w:type="auto"/>
          </w:tcPr>
          <w:p w14:paraId="5B50BDEA" w14:textId="77777777" w:rsidR="002728AA" w:rsidRDefault="002728AA" w:rsidP="004D7B1D">
            <w:pPr>
              <w:spacing w:before="360"/>
            </w:pPr>
          </w:p>
        </w:tc>
      </w:tr>
    </w:tbl>
    <w:p w14:paraId="68644755" w14:textId="77777777" w:rsidR="002728AA" w:rsidRDefault="002728AA" w:rsidP="002728AA">
      <w:pPr>
        <w:pStyle w:val="Heading1"/>
      </w:pPr>
      <w:bookmarkStart w:id="3" w:name="_Toc219990973"/>
      <w:r>
        <w:t>Workstream 1: Areas of Immediate Need</w:t>
      </w:r>
      <w:bookmarkEnd w:id="3"/>
    </w:p>
    <w:p w14:paraId="6A11678F" w14:textId="77777777" w:rsidR="002728AA" w:rsidRDefault="002728AA" w:rsidP="002728AA">
      <w:pPr>
        <w:spacing w:before="360"/>
      </w:pPr>
      <w:r>
        <w:rPr>
          <w:i/>
          <w:iCs/>
        </w:rPr>
        <w:t xml:space="preserve">67 requirements | Strategic aim: REDUCE through investment in </w:t>
      </w:r>
      <w:proofErr w:type="spellStart"/>
      <w:r>
        <w:rPr>
          <w:i/>
          <w:iCs/>
        </w:rPr>
        <w:t>WS2</w:t>
      </w:r>
      <w:proofErr w:type="spellEnd"/>
      <w:r>
        <w:rPr>
          <w:i/>
          <w:iCs/>
        </w:rPr>
        <w:t xml:space="preserve"> and </w:t>
      </w:r>
      <w:proofErr w:type="spellStart"/>
      <w:r>
        <w:rPr>
          <w:i/>
          <w:iCs/>
        </w:rPr>
        <w:t>WS3</w:t>
      </w:r>
      <w:proofErr w:type="spellEnd"/>
    </w:p>
    <w:p w14:paraId="38BED76E" w14:textId="77777777" w:rsidR="002728AA" w:rsidRDefault="002728AA" w:rsidP="002728AA">
      <w:pPr>
        <w:spacing w:before="360"/>
      </w:pPr>
      <w:r>
        <w:t>This workstream encompasses reactive, crisis-driven activities that currently consume significant workforce capacity. The programme's explicit goal is to reduce demand in this area by investing in proactive prevention (</w:t>
      </w:r>
      <w:proofErr w:type="spellStart"/>
      <w:r>
        <w:t>WS2</w:t>
      </w:r>
      <w:proofErr w:type="spellEnd"/>
      <w:r>
        <w:t>) and accessibility (</w:t>
      </w:r>
      <w:proofErr w:type="spellStart"/>
      <w:r>
        <w:t>WS3</w:t>
      </w:r>
      <w:proofErr w:type="spellEnd"/>
      <w:r>
        <w:t>). Requirements cluster around six sub-themes:</w:t>
      </w:r>
    </w:p>
    <w:p w14:paraId="0C5B61D1" w14:textId="77777777" w:rsidR="002728AA" w:rsidRDefault="002728AA" w:rsidP="002728AA">
      <w:pPr>
        <w:pStyle w:val="Heading3"/>
        <w:spacing w:before="360" w:after="120"/>
      </w:pPr>
      <w:bookmarkStart w:id="4" w:name="_Toc219990974"/>
      <w:r>
        <w:t>Priority 1 (High) Sub-themes</w:t>
      </w:r>
      <w:bookmarkEnd w:id="4"/>
    </w:p>
    <w:p w14:paraId="28C45403" w14:textId="77777777" w:rsidR="002728AA" w:rsidRDefault="002728AA" w:rsidP="002728AA">
      <w:pPr>
        <w:pStyle w:val="ListParagraph"/>
        <w:numPr>
          <w:ilvl w:val="0"/>
          <w:numId w:val="3"/>
        </w:numPr>
        <w:spacing w:before="360"/>
      </w:pPr>
      <w:r>
        <w:rPr>
          <w:b/>
          <w:bCs/>
        </w:rPr>
        <w:t xml:space="preserve">Transitions &amp; Discharge (16 requirements): </w:t>
      </w:r>
      <w:r>
        <w:t xml:space="preserve">The </w:t>
      </w:r>
      <w:proofErr w:type="spellStart"/>
      <w:r>
        <w:t>MNAA</w:t>
      </w:r>
      <w:proofErr w:type="spellEnd"/>
      <w:r>
        <w:t xml:space="preserve"> guidance identifies that "poorly coordinated transitions between different levels of care... can result in fragmented support and restricted continuity of care" (NHS England, 2023, p. 25). Requirements include comprehensive transition plans, named professionals, extended handover periods, and the </w:t>
      </w:r>
      <w:proofErr w:type="spellStart"/>
      <w:r>
        <w:t>NLTP's</w:t>
      </w:r>
      <w:proofErr w:type="spellEnd"/>
      <w:r>
        <w:t xml:space="preserve"> 12-point discharge plan.</w:t>
      </w:r>
    </w:p>
    <w:p w14:paraId="0ED7BCB4" w14:textId="77777777" w:rsidR="002728AA" w:rsidRDefault="002728AA" w:rsidP="002728AA">
      <w:pPr>
        <w:pStyle w:val="ListParagraph"/>
        <w:numPr>
          <w:ilvl w:val="0"/>
          <w:numId w:val="3"/>
        </w:numPr>
        <w:spacing w:before="360"/>
      </w:pPr>
      <w:r>
        <w:rPr>
          <w:b/>
          <w:bCs/>
        </w:rPr>
        <w:lastRenderedPageBreak/>
        <w:t xml:space="preserve">Inpatient Care (15 requirements): </w:t>
      </w:r>
      <w:r>
        <w:t xml:space="preserve">The </w:t>
      </w:r>
      <w:proofErr w:type="spellStart"/>
      <w:r>
        <w:t>NLTP</w:t>
      </w:r>
      <w:proofErr w:type="spellEnd"/>
      <w:r>
        <w:t xml:space="preserve"> sets targets to reduce inpatient provision to "no more than 30 per million adults" (NHS England, 2019, p. 53). The </w:t>
      </w:r>
      <w:proofErr w:type="spellStart"/>
      <w:r>
        <w:t>LDIS</w:t>
      </w:r>
      <w:proofErr w:type="spellEnd"/>
      <w:r>
        <w:t xml:space="preserve"> require "clear discharge pathways initiated on admission" with "time-limited interventions" (NHS England, 2018, p. 17). The </w:t>
      </w:r>
      <w:proofErr w:type="spellStart"/>
      <w:r>
        <w:t>KMMHS</w:t>
      </w:r>
      <w:proofErr w:type="spellEnd"/>
      <w:r>
        <w:t xml:space="preserve"> specifically targets making "wards autism-friendly" (</w:t>
      </w:r>
      <w:proofErr w:type="spellStart"/>
      <w:r>
        <w:t>KMMH</w:t>
      </w:r>
      <w:proofErr w:type="spellEnd"/>
      <w:r>
        <w:t>, 2024, p. 9).</w:t>
      </w:r>
    </w:p>
    <w:p w14:paraId="056EEF0E" w14:textId="77777777" w:rsidR="002728AA" w:rsidRDefault="002728AA" w:rsidP="002728AA">
      <w:pPr>
        <w:pStyle w:val="ListParagraph"/>
        <w:numPr>
          <w:ilvl w:val="0"/>
          <w:numId w:val="3"/>
        </w:numPr>
        <w:spacing w:before="360"/>
      </w:pPr>
      <w:r>
        <w:rPr>
          <w:b/>
          <w:bCs/>
        </w:rPr>
        <w:t xml:space="preserve">Restrictive Practices (13 requirements): </w:t>
      </w:r>
      <w:r>
        <w:t xml:space="preserve">Requirements include executive-level leadership for restrictive intervention reduction, overarching policy, and public data reporting. The </w:t>
      </w:r>
      <w:proofErr w:type="spellStart"/>
      <w:r>
        <w:t>MNAA</w:t>
      </w:r>
      <w:proofErr w:type="spellEnd"/>
      <w:r>
        <w:t xml:space="preserve"> identifies contributing factors including "understaffing, inadequate training of staff, and environments that are not appropriately designed" (NHS England, 2023, p. 25).</w:t>
      </w:r>
    </w:p>
    <w:p w14:paraId="0BD59F44" w14:textId="77777777" w:rsidR="002728AA" w:rsidRDefault="002728AA" w:rsidP="002728AA">
      <w:pPr>
        <w:pStyle w:val="ListParagraph"/>
        <w:numPr>
          <w:ilvl w:val="0"/>
          <w:numId w:val="3"/>
        </w:numPr>
        <w:spacing w:before="360"/>
      </w:pPr>
      <w:r>
        <w:rPr>
          <w:b/>
          <w:bCs/>
        </w:rPr>
        <w:t xml:space="preserve">Crisis Care (8 requirements): </w:t>
      </w:r>
      <w:r>
        <w:t xml:space="preserve">The </w:t>
      </w:r>
      <w:proofErr w:type="spellStart"/>
      <w:r>
        <w:t>NLTP</w:t>
      </w:r>
      <w:proofErr w:type="spellEnd"/>
      <w:r>
        <w:t xml:space="preserve"> commits to "a 24/7 community-based mental health crisis response" (NHS England, 2019, p. 70). The </w:t>
      </w:r>
      <w:proofErr w:type="spellStart"/>
      <w:r>
        <w:t>MNAA</w:t>
      </w:r>
      <w:proofErr w:type="spellEnd"/>
      <w:r>
        <w:t xml:space="preserve"> requires maintaining "contact with the person's usual support network" and "routines and predictability" during crisis (NHS England, 2023, p. 10).</w:t>
      </w:r>
    </w:p>
    <w:p w14:paraId="1D4BA981" w14:textId="77777777" w:rsidR="002728AA" w:rsidRDefault="002728AA" w:rsidP="002728AA">
      <w:pPr>
        <w:pStyle w:val="ListParagraph"/>
        <w:numPr>
          <w:ilvl w:val="0"/>
          <w:numId w:val="3"/>
        </w:numPr>
        <w:spacing w:before="360"/>
      </w:pPr>
      <w:r>
        <w:rPr>
          <w:b/>
          <w:bCs/>
        </w:rPr>
        <w:t xml:space="preserve">C(E)TRs (2 requirements): </w:t>
      </w:r>
      <w:r>
        <w:t>Care (Education) and Treatment Reviews are mandated processes for preventing inappropriate admissions and supporting discharge.</w:t>
      </w:r>
    </w:p>
    <w:p w14:paraId="7AB27D5F" w14:textId="77777777" w:rsidR="002728AA" w:rsidRDefault="002728AA" w:rsidP="002728AA">
      <w:pPr>
        <w:pStyle w:val="Heading3"/>
        <w:spacing w:before="360" w:after="120"/>
      </w:pPr>
      <w:bookmarkStart w:id="5" w:name="_Toc219990975"/>
      <w:r>
        <w:t>Priority 2 (Medium) Sub-themes</w:t>
      </w:r>
      <w:bookmarkEnd w:id="5"/>
    </w:p>
    <w:p w14:paraId="2C80989A" w14:textId="77777777" w:rsidR="002728AA" w:rsidRDefault="002728AA" w:rsidP="002728AA">
      <w:pPr>
        <w:pStyle w:val="ListParagraph"/>
        <w:numPr>
          <w:ilvl w:val="0"/>
          <w:numId w:val="3"/>
        </w:numPr>
        <w:spacing w:before="360"/>
      </w:pPr>
      <w:r>
        <w:rPr>
          <w:b/>
          <w:bCs/>
        </w:rPr>
        <w:t xml:space="preserve">Risk Assessment (11 requirements): </w:t>
      </w:r>
      <w:r>
        <w:t>Requirements emphasise autism-informed approaches to risk that avoid pathologising autistic characteristics whilst appropriately identifying genuine risks.</w:t>
      </w:r>
    </w:p>
    <w:p w14:paraId="5C6B25C8" w14:textId="77777777" w:rsidR="002728AA" w:rsidRDefault="002728AA" w:rsidP="002728AA">
      <w:pPr>
        <w:pStyle w:val="ListParagraph"/>
        <w:numPr>
          <w:ilvl w:val="0"/>
          <w:numId w:val="3"/>
        </w:numPr>
        <w:spacing w:before="360"/>
      </w:pPr>
      <w:r>
        <w:rPr>
          <w:b/>
          <w:bCs/>
        </w:rPr>
        <w:t xml:space="preserve">Planned Care (2 requirements): </w:t>
      </w:r>
      <w:r>
        <w:t>Requirements for Level 2 planned mental health care, emphasising accessibility and autism-informed practice.</w:t>
      </w:r>
    </w:p>
    <w:p w14:paraId="159561B2" w14:textId="77777777" w:rsidR="002728AA" w:rsidRDefault="002728AA" w:rsidP="002728AA">
      <w:pPr>
        <w:pStyle w:val="Heading1"/>
      </w:pPr>
      <w:bookmarkStart w:id="6" w:name="_Toc219990976"/>
      <w:r>
        <w:t>Workstream 2: Health Inequality</w:t>
      </w:r>
      <w:bookmarkEnd w:id="6"/>
    </w:p>
    <w:p w14:paraId="1ED19CB1" w14:textId="77777777" w:rsidR="002728AA" w:rsidRDefault="002728AA" w:rsidP="002728AA">
      <w:pPr>
        <w:spacing w:before="360"/>
      </w:pPr>
      <w:r>
        <w:rPr>
          <w:i/>
          <w:iCs/>
        </w:rPr>
        <w:t>110 requirements | Strategic aim: INVEST and expand proactive work</w:t>
      </w:r>
    </w:p>
    <w:p w14:paraId="6A750086" w14:textId="77777777" w:rsidR="002728AA" w:rsidRDefault="002728AA" w:rsidP="002728AA">
      <w:pPr>
        <w:spacing w:before="360"/>
      </w:pPr>
      <w:r>
        <w:t xml:space="preserve">This workstream addresses the systemic health disparities experienced by Autistic people and people with learning disabilities. The </w:t>
      </w:r>
      <w:proofErr w:type="spellStart"/>
      <w:r>
        <w:t>NLTP</w:t>
      </w:r>
      <w:proofErr w:type="spellEnd"/>
      <w:r>
        <w:t xml:space="preserve"> acknowledges that "despite suffering greater ill-health, people with a learning disability, autism or both often experience poorer access to healthcare" (NHS England, 2019, p. 41). Requirements cluster around seven sub-themes:</w:t>
      </w:r>
    </w:p>
    <w:p w14:paraId="25A206CC" w14:textId="77777777" w:rsidR="002728AA" w:rsidRDefault="002728AA" w:rsidP="002728AA">
      <w:pPr>
        <w:pStyle w:val="Heading3"/>
        <w:spacing w:before="360" w:after="120"/>
      </w:pPr>
      <w:bookmarkStart w:id="7" w:name="_Toc219990977"/>
      <w:r>
        <w:t>Priority 1 (High) Sub-themes</w:t>
      </w:r>
      <w:bookmarkEnd w:id="7"/>
    </w:p>
    <w:p w14:paraId="53EB8C16" w14:textId="77777777" w:rsidR="002728AA" w:rsidRDefault="002728AA" w:rsidP="002728AA">
      <w:pPr>
        <w:pStyle w:val="ListParagraph"/>
        <w:numPr>
          <w:ilvl w:val="0"/>
          <w:numId w:val="3"/>
        </w:numPr>
        <w:spacing w:before="360"/>
      </w:pPr>
      <w:r>
        <w:rPr>
          <w:b/>
          <w:bCs/>
        </w:rPr>
        <w:lastRenderedPageBreak/>
        <w:t xml:space="preserve">Health Inequalities (33 requirements): </w:t>
      </w:r>
      <w:r>
        <w:t>The AAAS provides extensive analysis of health disparities, noting that Autistic people experience "significantly higher rates of physical and mental health conditions" yet face "barriers to accessing healthcare" (House of Lords, 2025). Requirements include targeted interventions, monitoring, and evaluation of effectiveness.</w:t>
      </w:r>
    </w:p>
    <w:p w14:paraId="0E6A08E1" w14:textId="77777777" w:rsidR="002728AA" w:rsidRDefault="002728AA" w:rsidP="002728AA">
      <w:pPr>
        <w:pStyle w:val="ListParagraph"/>
        <w:numPr>
          <w:ilvl w:val="0"/>
          <w:numId w:val="3"/>
        </w:numPr>
        <w:spacing w:before="360"/>
      </w:pPr>
      <w:r>
        <w:rPr>
          <w:b/>
          <w:bCs/>
        </w:rPr>
        <w:t xml:space="preserve">Assessment &amp; Diagnosis (25 requirements): </w:t>
      </w:r>
      <w:r>
        <w:t xml:space="preserve">The AAAS reports "long waiting times for autism assessment" with "many people waiting years for diagnosis" and "insufficient post-diagnostic support" (House of Lords, 2025, p. 67). The </w:t>
      </w:r>
      <w:proofErr w:type="spellStart"/>
      <w:r>
        <w:t>MNAA</w:t>
      </w:r>
      <w:proofErr w:type="spellEnd"/>
      <w:r>
        <w:t xml:space="preserve"> warns against diagnostic overshadowing where "behaviours or symptoms are incorrectly attributed to autism" (NHS England, 2023, p. 16).</w:t>
      </w:r>
    </w:p>
    <w:p w14:paraId="14E34DE6" w14:textId="77777777" w:rsidR="002728AA" w:rsidRDefault="002728AA" w:rsidP="002728AA">
      <w:pPr>
        <w:pStyle w:val="ListParagraph"/>
        <w:numPr>
          <w:ilvl w:val="0"/>
          <w:numId w:val="3"/>
        </w:numPr>
        <w:spacing w:before="360"/>
      </w:pPr>
      <w:r>
        <w:rPr>
          <w:b/>
          <w:bCs/>
        </w:rPr>
        <w:t xml:space="preserve">Physical Health (18 requirements): </w:t>
      </w:r>
      <w:r>
        <w:t xml:space="preserve">The </w:t>
      </w:r>
      <w:proofErr w:type="spellStart"/>
      <w:r>
        <w:t>NLTP</w:t>
      </w:r>
      <w:proofErr w:type="spellEnd"/>
      <w:r>
        <w:t xml:space="preserve"> commits to improving annual health check uptake "to at least 75%" and piloting health checks for Autistic adults (NHS England, 2019, p. 52). The </w:t>
      </w:r>
      <w:proofErr w:type="spellStart"/>
      <w:r>
        <w:t>LeDeR</w:t>
      </w:r>
      <w:proofErr w:type="spellEnd"/>
      <w:r>
        <w:t xml:space="preserve"> programme is mandated, requiring investigation of deaths and learning from findings (NHS England, 2018, p. 6).</w:t>
      </w:r>
    </w:p>
    <w:p w14:paraId="6F301FD5" w14:textId="77777777" w:rsidR="002728AA" w:rsidRDefault="002728AA" w:rsidP="002728AA">
      <w:pPr>
        <w:pStyle w:val="Heading3"/>
        <w:spacing w:before="360" w:after="120"/>
      </w:pPr>
      <w:bookmarkStart w:id="8" w:name="_Toc219990978"/>
      <w:r>
        <w:t>Priority 2 (Medium) Sub-themes</w:t>
      </w:r>
      <w:bookmarkEnd w:id="8"/>
    </w:p>
    <w:p w14:paraId="24421FD3" w14:textId="77777777" w:rsidR="002728AA" w:rsidRDefault="002728AA" w:rsidP="002728AA">
      <w:pPr>
        <w:pStyle w:val="ListParagraph"/>
        <w:numPr>
          <w:ilvl w:val="0"/>
          <w:numId w:val="3"/>
        </w:numPr>
        <w:spacing w:before="360"/>
      </w:pPr>
      <w:r>
        <w:rPr>
          <w:b/>
          <w:bCs/>
        </w:rPr>
        <w:t xml:space="preserve">Meaningful Activity (11 requirements): </w:t>
      </w:r>
      <w:r>
        <w:t xml:space="preserve">The </w:t>
      </w:r>
      <w:proofErr w:type="spellStart"/>
      <w:r>
        <w:t>MNAA</w:t>
      </w:r>
      <w:proofErr w:type="spellEnd"/>
      <w:r>
        <w:t xml:space="preserve"> emphasises that "engagement in meaningful activity supports mental health and wellbeing" and services should support access to "education, training, volunteering and employment opportunities" (NHS England, 2023, p. 15).</w:t>
      </w:r>
    </w:p>
    <w:p w14:paraId="17CB956E" w14:textId="77777777" w:rsidR="002728AA" w:rsidRDefault="002728AA" w:rsidP="002728AA">
      <w:pPr>
        <w:pStyle w:val="Heading3"/>
        <w:spacing w:before="360" w:after="120"/>
      </w:pPr>
      <w:bookmarkStart w:id="9" w:name="_Toc219990979"/>
      <w:r>
        <w:t>Priority 3 (Partnership/System) Sub-themes</w:t>
      </w:r>
      <w:bookmarkEnd w:id="9"/>
    </w:p>
    <w:p w14:paraId="78306424" w14:textId="77777777" w:rsidR="002728AA" w:rsidRDefault="002728AA" w:rsidP="002728AA">
      <w:pPr>
        <w:pStyle w:val="ListParagraph"/>
        <w:numPr>
          <w:ilvl w:val="0"/>
          <w:numId w:val="3"/>
        </w:numPr>
        <w:spacing w:before="360"/>
      </w:pPr>
      <w:r>
        <w:rPr>
          <w:b/>
          <w:bCs/>
        </w:rPr>
        <w:t xml:space="preserve">Employment (11 requirements): </w:t>
      </w:r>
      <w:r>
        <w:t>The AAAS reports that "only 31% of autistic adults are in employment, the lowest rate of any disability group" (House of Lords, 2025, p. 142). Whilst largely outside direct trust control, partnership working is required.</w:t>
      </w:r>
    </w:p>
    <w:p w14:paraId="737EA858" w14:textId="77777777" w:rsidR="002728AA" w:rsidRDefault="002728AA" w:rsidP="002728AA">
      <w:pPr>
        <w:pStyle w:val="ListParagraph"/>
        <w:numPr>
          <w:ilvl w:val="0"/>
          <w:numId w:val="3"/>
        </w:numPr>
        <w:spacing w:before="360"/>
      </w:pPr>
      <w:r>
        <w:rPr>
          <w:b/>
          <w:bCs/>
        </w:rPr>
        <w:t xml:space="preserve">Education &amp; Transitions (6 requirements): </w:t>
      </w:r>
      <w:r>
        <w:t>Requirements address the "cliff edge" when young people leave education, requiring improved transition planning.</w:t>
      </w:r>
    </w:p>
    <w:p w14:paraId="5D0D2E21" w14:textId="77777777" w:rsidR="002728AA" w:rsidRDefault="002728AA" w:rsidP="002728AA">
      <w:pPr>
        <w:pStyle w:val="ListParagraph"/>
        <w:numPr>
          <w:ilvl w:val="0"/>
          <w:numId w:val="3"/>
        </w:numPr>
        <w:spacing w:before="360"/>
      </w:pPr>
      <w:r>
        <w:rPr>
          <w:b/>
          <w:bCs/>
        </w:rPr>
        <w:t xml:space="preserve">Criminal Justice (6 requirements): </w:t>
      </w:r>
      <w:r>
        <w:t>The AAAS highlights over-representation in the criminal justice system and a "lack of routine recording" of autism and learning disability (House of Lords, 2025, p. 164).</w:t>
      </w:r>
    </w:p>
    <w:p w14:paraId="5DAF930F" w14:textId="77777777" w:rsidR="002728AA" w:rsidRDefault="002728AA" w:rsidP="002728AA">
      <w:pPr>
        <w:pStyle w:val="Heading1"/>
      </w:pPr>
      <w:bookmarkStart w:id="10" w:name="_Toc219990980"/>
      <w:r>
        <w:t>Workstream 3: Reasonable Adjustments</w:t>
      </w:r>
      <w:bookmarkEnd w:id="10"/>
    </w:p>
    <w:p w14:paraId="33A995F2" w14:textId="77777777" w:rsidR="002728AA" w:rsidRDefault="002728AA" w:rsidP="002728AA">
      <w:pPr>
        <w:spacing w:before="360"/>
      </w:pPr>
      <w:r>
        <w:rPr>
          <w:i/>
          <w:iCs/>
        </w:rPr>
        <w:lastRenderedPageBreak/>
        <w:t>155 requirements | Strategic aim: INVEST and expand proactive work</w:t>
      </w:r>
    </w:p>
    <w:p w14:paraId="0BEA232F" w14:textId="77777777" w:rsidR="002728AA" w:rsidRDefault="002728AA" w:rsidP="002728AA">
      <w:pPr>
        <w:spacing w:before="360"/>
      </w:pPr>
      <w:r>
        <w:t>This largest workstream encompasses the practical adaptations required for Autistic people and people with learning disabilities to access and benefit from mental health services. These requirements are foundational – without accessible services, other improvement efforts are undermined. Requirements cluster around ten sub-themes:</w:t>
      </w:r>
    </w:p>
    <w:p w14:paraId="30547361" w14:textId="77777777" w:rsidR="002728AA" w:rsidRDefault="002728AA" w:rsidP="002728AA">
      <w:pPr>
        <w:pStyle w:val="Heading3"/>
        <w:spacing w:before="360" w:after="120"/>
      </w:pPr>
      <w:bookmarkStart w:id="11" w:name="_Toc219990981"/>
      <w:r>
        <w:t>Priority 1 (High) Sub-themes</w:t>
      </w:r>
      <w:bookmarkEnd w:id="11"/>
    </w:p>
    <w:p w14:paraId="32DB17A5" w14:textId="77777777" w:rsidR="002728AA" w:rsidRDefault="002728AA" w:rsidP="002728AA">
      <w:pPr>
        <w:pStyle w:val="ListParagraph"/>
        <w:numPr>
          <w:ilvl w:val="0"/>
          <w:numId w:val="3"/>
        </w:numPr>
        <w:spacing w:before="360"/>
      </w:pPr>
      <w:r>
        <w:rPr>
          <w:b/>
          <w:bCs/>
        </w:rPr>
        <w:t xml:space="preserve">Autism-informed Frameworks (47 requirements): </w:t>
      </w:r>
      <w:r>
        <w:t xml:space="preserve">The </w:t>
      </w:r>
      <w:proofErr w:type="spellStart"/>
      <w:r>
        <w:t>AIIC</w:t>
      </w:r>
      <w:proofErr w:type="spellEnd"/>
      <w:r>
        <w:t xml:space="preserve"> guidance introduces the Autistic SPACE framework (Sensory, Predictability, Acceptance, Communication, Empathy) and SPELL approach (Structure, Positive, Empathy, Low arousal, Links). These provide practical implementation guidance that "aligns with neurodivergent affirming approaches" viewing autism as "a difference in neurotype, rather than a deficit" (NHS England, 2025, p. 5).</w:t>
      </w:r>
    </w:p>
    <w:p w14:paraId="1A26F2C1" w14:textId="77777777" w:rsidR="002728AA" w:rsidRDefault="002728AA" w:rsidP="002728AA">
      <w:pPr>
        <w:pStyle w:val="ListParagraph"/>
        <w:numPr>
          <w:ilvl w:val="0"/>
          <w:numId w:val="3"/>
        </w:numPr>
        <w:spacing w:before="360"/>
      </w:pPr>
      <w:r>
        <w:rPr>
          <w:b/>
          <w:bCs/>
        </w:rPr>
        <w:t xml:space="preserve">Communication (28 requirements): </w:t>
      </w:r>
      <w:r>
        <w:t>Detailed requirements across all care levels including: allowing "additional time for processing information"; using "clear, specific language, avoiding jargon, sarcasm, metaphors"; offering "written information to supplement verbal communication"; and using "augmentative and alternative communication methods where appropriate" (NHS England, 2023, pp. 13-22).</w:t>
      </w:r>
    </w:p>
    <w:p w14:paraId="633B9979" w14:textId="77777777" w:rsidR="002728AA" w:rsidRDefault="002728AA" w:rsidP="002728AA">
      <w:pPr>
        <w:pStyle w:val="ListParagraph"/>
        <w:numPr>
          <w:ilvl w:val="0"/>
          <w:numId w:val="3"/>
        </w:numPr>
        <w:spacing w:before="360"/>
      </w:pPr>
      <w:r>
        <w:rPr>
          <w:b/>
          <w:bCs/>
        </w:rPr>
        <w:t xml:space="preserve">Reasonable Adjustments (25 requirements): </w:t>
      </w:r>
      <w:r>
        <w:t xml:space="preserve">The </w:t>
      </w:r>
      <w:proofErr w:type="spellStart"/>
      <w:r>
        <w:t>LDIS</w:t>
      </w:r>
      <w:proofErr w:type="spellEnd"/>
      <w:r>
        <w:t xml:space="preserve"> require trusts to "demonstrate they have made reasonable adjustments to care pathways to ensure people with learning disabilities, autism or both can access highly personalised care and achieve equality of outcomes" (NHS England, 2018, p. 6).</w:t>
      </w:r>
    </w:p>
    <w:p w14:paraId="007B9C1D" w14:textId="77777777" w:rsidR="002728AA" w:rsidRDefault="002728AA" w:rsidP="002728AA">
      <w:pPr>
        <w:pStyle w:val="ListParagraph"/>
        <w:numPr>
          <w:ilvl w:val="0"/>
          <w:numId w:val="3"/>
        </w:numPr>
        <w:spacing w:before="360"/>
      </w:pPr>
      <w:r>
        <w:rPr>
          <w:b/>
          <w:bCs/>
        </w:rPr>
        <w:t xml:space="preserve">Digital Flag (3 requirements): </w:t>
      </w:r>
      <w:r>
        <w:t xml:space="preserve">The </w:t>
      </w:r>
      <w:proofErr w:type="spellStart"/>
      <w:r>
        <w:t>MNAA</w:t>
      </w:r>
      <w:proofErr w:type="spellEnd"/>
      <w:r>
        <w:t xml:space="preserve"> mandates the Reasonable Adjustments Digital Flag "across all health services" (NHS England, 2023, p. 12). This is a specific </w:t>
      </w:r>
      <w:proofErr w:type="spellStart"/>
      <w:r>
        <w:t>KMMH</w:t>
      </w:r>
      <w:proofErr w:type="spellEnd"/>
      <w:r>
        <w:t xml:space="preserve"> programme objective with a September 2025 target for 100% patient flagging.</w:t>
      </w:r>
    </w:p>
    <w:p w14:paraId="2120C041" w14:textId="77777777" w:rsidR="002728AA" w:rsidRDefault="002728AA" w:rsidP="002728AA">
      <w:pPr>
        <w:pStyle w:val="Heading3"/>
        <w:spacing w:before="360" w:after="120"/>
      </w:pPr>
      <w:bookmarkStart w:id="12" w:name="_Toc219990982"/>
      <w:r>
        <w:t>Priority 2 (Medium) Sub-themes</w:t>
      </w:r>
      <w:bookmarkEnd w:id="12"/>
    </w:p>
    <w:p w14:paraId="007C4E8B" w14:textId="77777777" w:rsidR="002728AA" w:rsidRDefault="002728AA" w:rsidP="002728AA">
      <w:pPr>
        <w:pStyle w:val="ListParagraph"/>
        <w:numPr>
          <w:ilvl w:val="0"/>
          <w:numId w:val="3"/>
        </w:numPr>
        <w:spacing w:before="360"/>
      </w:pPr>
      <w:r>
        <w:rPr>
          <w:b/>
          <w:bCs/>
        </w:rPr>
        <w:t xml:space="preserve">Anxiety &amp; Uncertainty (17 requirements): </w:t>
      </w:r>
      <w:r>
        <w:t>Requirements addressing the distress many Autistic people experience with change and uncertainty, including providing advance information and maintaining predictability.</w:t>
      </w:r>
    </w:p>
    <w:p w14:paraId="3BDDC9B4" w14:textId="77777777" w:rsidR="002728AA" w:rsidRDefault="002728AA" w:rsidP="002728AA">
      <w:pPr>
        <w:pStyle w:val="ListParagraph"/>
        <w:numPr>
          <w:ilvl w:val="0"/>
          <w:numId w:val="3"/>
        </w:numPr>
        <w:spacing w:before="360"/>
      </w:pPr>
      <w:r>
        <w:rPr>
          <w:b/>
          <w:bCs/>
        </w:rPr>
        <w:lastRenderedPageBreak/>
        <w:t xml:space="preserve">Medication &amp; Prescribing (12 requirements): </w:t>
      </w:r>
      <w:r>
        <w:t>Requirements include medication not being "used as a first-line treatment for behaviours that challenge," regular reviews, consideration of sensory issues, and supporting deprescribing (NHS England, 2023, pp. 17-18). The STOMP programme is referenced across documents.</w:t>
      </w:r>
    </w:p>
    <w:p w14:paraId="468FDE1D" w14:textId="77777777" w:rsidR="002728AA" w:rsidRDefault="002728AA" w:rsidP="002728AA">
      <w:pPr>
        <w:pStyle w:val="ListParagraph"/>
        <w:numPr>
          <w:ilvl w:val="0"/>
          <w:numId w:val="3"/>
        </w:numPr>
        <w:spacing w:before="360"/>
      </w:pPr>
      <w:r>
        <w:rPr>
          <w:b/>
          <w:bCs/>
        </w:rPr>
        <w:t xml:space="preserve">Sensory Needs (11 requirements): </w:t>
      </w:r>
      <w:r>
        <w:t>Requirements for sensory-friendly environments addressing "sensory differences including over-reactivity, under-reactivity, or sensory seeking" (NHS England, 2025, p. 5).</w:t>
      </w:r>
    </w:p>
    <w:p w14:paraId="1848D275" w14:textId="77777777" w:rsidR="002728AA" w:rsidRDefault="002728AA" w:rsidP="002728AA">
      <w:pPr>
        <w:pStyle w:val="ListParagraph"/>
        <w:numPr>
          <w:ilvl w:val="0"/>
          <w:numId w:val="3"/>
        </w:numPr>
        <w:spacing w:before="360"/>
      </w:pPr>
      <w:r>
        <w:rPr>
          <w:b/>
          <w:bCs/>
        </w:rPr>
        <w:t xml:space="preserve">Executive Functioning (8 requirements): </w:t>
      </w:r>
      <w:r>
        <w:t>Support for difficulties with planning, organisation, and task completion.</w:t>
      </w:r>
    </w:p>
    <w:p w14:paraId="3CBE96C4" w14:textId="77777777" w:rsidR="002728AA" w:rsidRDefault="002728AA" w:rsidP="002728AA">
      <w:pPr>
        <w:pStyle w:val="ListParagraph"/>
        <w:numPr>
          <w:ilvl w:val="0"/>
          <w:numId w:val="3"/>
        </w:numPr>
        <w:spacing w:before="360"/>
      </w:pPr>
      <w:r>
        <w:rPr>
          <w:b/>
          <w:bCs/>
        </w:rPr>
        <w:t xml:space="preserve">Masking (3 requirements): </w:t>
      </w:r>
      <w:r>
        <w:t>Recognition that Autistic people may mask difficulties, with implications for assessment and support.</w:t>
      </w:r>
    </w:p>
    <w:p w14:paraId="76AAA2E2" w14:textId="77777777" w:rsidR="002728AA" w:rsidRDefault="002728AA" w:rsidP="002728AA">
      <w:pPr>
        <w:pStyle w:val="ListParagraph"/>
        <w:numPr>
          <w:ilvl w:val="0"/>
          <w:numId w:val="3"/>
        </w:numPr>
        <w:spacing w:before="360"/>
      </w:pPr>
      <w:r>
        <w:rPr>
          <w:b/>
          <w:bCs/>
        </w:rPr>
        <w:t xml:space="preserve">Health Passports (1 requirement): </w:t>
      </w:r>
      <w:r>
        <w:t>Use of health/communication passports to summarise needs and preferences.</w:t>
      </w:r>
    </w:p>
    <w:p w14:paraId="0B37B576" w14:textId="77777777" w:rsidR="002728AA" w:rsidRDefault="002728AA" w:rsidP="002728AA">
      <w:pPr>
        <w:pStyle w:val="Heading1"/>
      </w:pPr>
      <w:bookmarkStart w:id="13" w:name="_Toc219990983"/>
      <w:r>
        <w:t>Cross-cutting Enablers</w:t>
      </w:r>
      <w:bookmarkEnd w:id="13"/>
    </w:p>
    <w:p w14:paraId="73391EFF" w14:textId="77777777" w:rsidR="002728AA" w:rsidRDefault="002728AA" w:rsidP="002728AA">
      <w:pPr>
        <w:spacing w:before="360"/>
      </w:pPr>
      <w:r>
        <w:rPr>
          <w:i/>
          <w:iCs/>
        </w:rPr>
        <w:t>61 requirements | Foundation supporting all three workstreams</w:t>
      </w:r>
    </w:p>
    <w:p w14:paraId="71670024" w14:textId="77777777" w:rsidR="002728AA" w:rsidRDefault="002728AA" w:rsidP="002728AA">
      <w:pPr>
        <w:pStyle w:val="Heading2"/>
        <w:spacing w:before="360"/>
      </w:pPr>
      <w:bookmarkStart w:id="14" w:name="_Toc219990984"/>
      <w:r>
        <w:t>Co-production &amp; Lived Experience Leadership (17 requirements)</w:t>
      </w:r>
      <w:bookmarkEnd w:id="14"/>
    </w:p>
    <w:p w14:paraId="177D4750" w14:textId="77777777" w:rsidR="002728AA" w:rsidRDefault="002728AA" w:rsidP="002728AA">
      <w:pPr>
        <w:spacing w:before="360"/>
      </w:pPr>
      <w:r>
        <w:rPr>
          <w:i/>
          <w:iCs/>
        </w:rPr>
        <w:t>Priority 1 (High)</w:t>
      </w:r>
    </w:p>
    <w:p w14:paraId="3C2580A2" w14:textId="77777777" w:rsidR="002728AA" w:rsidRDefault="002728AA" w:rsidP="002728AA">
      <w:pPr>
        <w:spacing w:before="360"/>
      </w:pPr>
      <w:r>
        <w:t xml:space="preserve">The </w:t>
      </w:r>
      <w:proofErr w:type="spellStart"/>
      <w:r>
        <w:t>KMMH</w:t>
      </w:r>
      <w:proofErr w:type="spellEnd"/>
      <w:r>
        <w:t xml:space="preserve"> Programme Plan establishes a Lived Experience Programme Board as a core objective. Requirements consistently emphasise that involvement must be meaningful rather than tokenistic, with fair compensation and support. The AAAS recommends that "autistic people have an equal role in designing and delivering policy and services and are fairly compensated for this work" (House of Lords, 2025, p. 223). The </w:t>
      </w:r>
      <w:proofErr w:type="spellStart"/>
      <w:r>
        <w:t>LDIS</w:t>
      </w:r>
      <w:proofErr w:type="spellEnd"/>
      <w:r>
        <w:t xml:space="preserve"> require that "people are paid for their involvement in review work" (NHS England, 2018, p. 10).</w:t>
      </w:r>
    </w:p>
    <w:p w14:paraId="05C4A604" w14:textId="77777777" w:rsidR="002728AA" w:rsidRDefault="002728AA" w:rsidP="002728AA">
      <w:pPr>
        <w:pStyle w:val="Heading2"/>
        <w:spacing w:before="360"/>
      </w:pPr>
      <w:bookmarkStart w:id="15" w:name="_Toc219990985"/>
      <w:r>
        <w:t>Workforce Development (16 requirements)</w:t>
      </w:r>
      <w:bookmarkEnd w:id="15"/>
    </w:p>
    <w:p w14:paraId="64218ECA" w14:textId="77777777" w:rsidR="002728AA" w:rsidRDefault="002728AA" w:rsidP="002728AA">
      <w:pPr>
        <w:spacing w:before="360"/>
      </w:pPr>
      <w:r>
        <w:rPr>
          <w:i/>
          <w:iCs/>
        </w:rPr>
        <w:t>Priority 1 (High)</w:t>
      </w:r>
    </w:p>
    <w:p w14:paraId="766FC315" w14:textId="77777777" w:rsidR="002728AA" w:rsidRDefault="002728AA" w:rsidP="002728AA">
      <w:pPr>
        <w:spacing w:before="360"/>
      </w:pPr>
      <w:r>
        <w:t xml:space="preserve">The Oliver McGowan Mandatory Training is central, with the </w:t>
      </w:r>
      <w:proofErr w:type="spellStart"/>
      <w:r>
        <w:t>MNAA</w:t>
      </w:r>
      <w:proofErr w:type="spellEnd"/>
      <w:r>
        <w:t xml:space="preserve"> specifying alignment with the Core Capabilities Framework across three tiers: "Tier 1 for the </w:t>
      </w:r>
      <w:r>
        <w:lastRenderedPageBreak/>
        <w:t xml:space="preserve">whole workforce, Tier 2 for those providing direct support, and Tier 3 for those in complex or leadership roles" (NHS England, 2023, pp. 29-30). Training should be "co-designed and co-delivered by people with lived experience" (NHS England, 2023, p. 30). The </w:t>
      </w:r>
      <w:proofErr w:type="spellStart"/>
      <w:r>
        <w:t>KMMH</w:t>
      </w:r>
      <w:proofErr w:type="spellEnd"/>
      <w:r>
        <w:t xml:space="preserve"> Programme Plan identifies capacity building as a specific objective.</w:t>
      </w:r>
    </w:p>
    <w:p w14:paraId="389BE574" w14:textId="77777777" w:rsidR="002728AA" w:rsidRDefault="002728AA" w:rsidP="002728AA">
      <w:pPr>
        <w:pStyle w:val="Heading2"/>
        <w:spacing w:before="360"/>
      </w:pPr>
      <w:bookmarkStart w:id="16" w:name="_Toc219990986"/>
      <w:r>
        <w:t>Governance &amp; Infrastructure (7 requirements)</w:t>
      </w:r>
      <w:bookmarkEnd w:id="16"/>
    </w:p>
    <w:p w14:paraId="4FBE717A" w14:textId="77777777" w:rsidR="002728AA" w:rsidRDefault="002728AA" w:rsidP="002728AA">
      <w:pPr>
        <w:spacing w:before="360"/>
      </w:pPr>
      <w:r>
        <w:rPr>
          <w:i/>
          <w:iCs/>
        </w:rPr>
        <w:t>Priority 2 (Medium)</w:t>
      </w:r>
    </w:p>
    <w:p w14:paraId="58142318" w14:textId="77777777" w:rsidR="002728AA" w:rsidRDefault="002728AA" w:rsidP="002728AA">
      <w:pPr>
        <w:spacing w:before="360"/>
      </w:pPr>
      <w:r>
        <w:t xml:space="preserve">Requirements for commissioning strategies, governance arrangements, and data collection to drive improvement. The </w:t>
      </w:r>
      <w:proofErr w:type="spellStart"/>
      <w:r>
        <w:t>KMMH</w:t>
      </w:r>
      <w:proofErr w:type="spellEnd"/>
      <w:r>
        <w:t xml:space="preserve"> Programme Plan establishes a Delivery Group with cross-directorate representation and accountability to the Trust Leadership Team.</w:t>
      </w:r>
    </w:p>
    <w:p w14:paraId="17933E64" w14:textId="77777777" w:rsidR="002728AA" w:rsidRDefault="002728AA" w:rsidP="002728AA">
      <w:pPr>
        <w:pStyle w:val="Heading2"/>
        <w:spacing w:before="360"/>
      </w:pPr>
      <w:bookmarkStart w:id="17" w:name="_Toc219990987"/>
      <w:r>
        <w:t>Policy Context (21 requirements)</w:t>
      </w:r>
      <w:bookmarkEnd w:id="17"/>
    </w:p>
    <w:p w14:paraId="06CD40AC" w14:textId="77777777" w:rsidR="002728AA" w:rsidRDefault="002728AA" w:rsidP="002728AA">
      <w:pPr>
        <w:spacing w:before="360"/>
      </w:pPr>
      <w:r>
        <w:rPr>
          <w:i/>
          <w:iCs/>
        </w:rPr>
        <w:t>Priority 3 (Lower)</w:t>
      </w:r>
    </w:p>
    <w:p w14:paraId="0B36BEC2" w14:textId="77777777" w:rsidR="002728AA" w:rsidRDefault="002728AA" w:rsidP="002728AA">
      <w:pPr>
        <w:spacing w:before="360"/>
      </w:pPr>
      <w:r>
        <w:t>Background requirements establishing the policy mandate, including the Autism Act 2009, forthcoming autism strategy, and purpose statements from guidance documents. The AAAS calls for "urgent action" and recommends the Government "meet that commitment in full" for the new strategy (House of Lords, 2025, p. 9).</w:t>
      </w:r>
    </w:p>
    <w:p w14:paraId="4E40DBC3" w14:textId="77777777" w:rsidR="002728AA" w:rsidRDefault="002728AA" w:rsidP="002728AA">
      <w:pPr>
        <w:pStyle w:val="Heading1"/>
      </w:pPr>
      <w:bookmarkStart w:id="18" w:name="_Toc219990988"/>
      <w:r>
        <w:t>Priority Framework</w:t>
      </w:r>
      <w:bookmarkEnd w:id="18"/>
    </w:p>
    <w:p w14:paraId="293BA607" w14:textId="77777777" w:rsidR="002728AA" w:rsidRDefault="002728AA" w:rsidP="002728AA">
      <w:pPr>
        <w:spacing w:before="360"/>
      </w:pPr>
      <w:r>
        <w:t xml:space="preserve">Priorities have been assigned based on document emphasis, frequency of citation across sources, and alignment with the </w:t>
      </w:r>
      <w:proofErr w:type="spellStart"/>
      <w:r>
        <w:t>KMMH</w:t>
      </w:r>
      <w:proofErr w:type="spellEnd"/>
      <w:r>
        <w:t xml:space="preserve"> Programme Plan's strategic objectives: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7"/>
        <w:gridCol w:w="1886"/>
        <w:gridCol w:w="5973"/>
      </w:tblGrid>
      <w:tr w:rsidR="002728AA" w14:paraId="2543FB07" w14:textId="77777777" w:rsidTr="004D7B1D">
        <w:trPr>
          <w:tblHeader/>
        </w:trPr>
        <w:tc>
          <w:tcPr>
            <w:tcW w:w="0" w:type="auto"/>
            <w:shd w:val="clear" w:color="auto" w:fill="1F4E79"/>
          </w:tcPr>
          <w:p w14:paraId="705D1A61" w14:textId="77777777" w:rsidR="002728AA" w:rsidRDefault="002728AA" w:rsidP="004D7B1D">
            <w:pPr>
              <w:spacing w:before="360"/>
            </w:pPr>
            <w:r>
              <w:rPr>
                <w:b/>
                <w:bCs/>
                <w:color w:val="FFFFFF"/>
              </w:rPr>
              <w:t>Priority</w:t>
            </w:r>
          </w:p>
        </w:tc>
        <w:tc>
          <w:tcPr>
            <w:tcW w:w="0" w:type="auto"/>
            <w:shd w:val="clear" w:color="auto" w:fill="1F4E79"/>
          </w:tcPr>
          <w:p w14:paraId="3EC9F226" w14:textId="77777777" w:rsidR="002728AA" w:rsidRDefault="002728AA" w:rsidP="004D7B1D">
            <w:pPr>
              <w:spacing w:before="360"/>
            </w:pPr>
            <w:r>
              <w:rPr>
                <w:b/>
                <w:bCs/>
                <w:color w:val="FFFFFF"/>
              </w:rPr>
              <w:t>Meaning</w:t>
            </w:r>
          </w:p>
        </w:tc>
        <w:tc>
          <w:tcPr>
            <w:tcW w:w="0" w:type="auto"/>
            <w:shd w:val="clear" w:color="auto" w:fill="1F4E79"/>
          </w:tcPr>
          <w:p w14:paraId="645B7FD5" w14:textId="77777777" w:rsidR="002728AA" w:rsidRDefault="002728AA" w:rsidP="004D7B1D">
            <w:pPr>
              <w:spacing w:before="360"/>
            </w:pPr>
            <w:r>
              <w:rPr>
                <w:b/>
                <w:bCs/>
                <w:color w:val="FFFFFF"/>
              </w:rPr>
              <w:t>Rationale</w:t>
            </w:r>
          </w:p>
        </w:tc>
      </w:tr>
      <w:tr w:rsidR="002728AA" w14:paraId="41E69609" w14:textId="77777777" w:rsidTr="004D7B1D">
        <w:tc>
          <w:tcPr>
            <w:tcW w:w="0" w:type="auto"/>
            <w:shd w:val="clear" w:color="auto" w:fill="F4CCCC"/>
          </w:tcPr>
          <w:p w14:paraId="3C01FD8E" w14:textId="77777777" w:rsidR="002728AA" w:rsidRDefault="002728AA" w:rsidP="004D7B1D">
            <w:pPr>
              <w:spacing w:before="360"/>
            </w:pPr>
            <w:r>
              <w:rPr>
                <w:b/>
                <w:bCs/>
              </w:rPr>
              <w:t>1 (High)</w:t>
            </w:r>
          </w:p>
        </w:tc>
        <w:tc>
          <w:tcPr>
            <w:tcW w:w="0" w:type="auto"/>
          </w:tcPr>
          <w:p w14:paraId="33690B66" w14:textId="77777777" w:rsidR="002728AA" w:rsidRDefault="002728AA" w:rsidP="004D7B1D">
            <w:pPr>
              <w:spacing w:before="360"/>
            </w:pPr>
            <w:r>
              <w:t>Immediate / Foundational</w:t>
            </w:r>
          </w:p>
        </w:tc>
        <w:tc>
          <w:tcPr>
            <w:tcW w:w="0" w:type="auto"/>
          </w:tcPr>
          <w:p w14:paraId="5FE72796" w14:textId="77777777" w:rsidR="002728AA" w:rsidRDefault="002728AA" w:rsidP="004D7B1D">
            <w:pPr>
              <w:spacing w:before="360"/>
            </w:pPr>
            <w:r>
              <w:t>Core requirements that enable other work; immediate safety/quality concerns; mandated activities; frequently cited across documents</w:t>
            </w:r>
          </w:p>
        </w:tc>
      </w:tr>
      <w:tr w:rsidR="002728AA" w14:paraId="103C5EFA" w14:textId="77777777" w:rsidTr="004D7B1D">
        <w:tc>
          <w:tcPr>
            <w:tcW w:w="0" w:type="auto"/>
            <w:shd w:val="clear" w:color="auto" w:fill="FCE5CD"/>
          </w:tcPr>
          <w:p w14:paraId="4616AA5D" w14:textId="77777777" w:rsidR="002728AA" w:rsidRDefault="002728AA" w:rsidP="004D7B1D">
            <w:pPr>
              <w:spacing w:before="360"/>
            </w:pPr>
            <w:r>
              <w:rPr>
                <w:b/>
                <w:bCs/>
              </w:rPr>
              <w:t>2 (Medium)</w:t>
            </w:r>
          </w:p>
        </w:tc>
        <w:tc>
          <w:tcPr>
            <w:tcW w:w="0" w:type="auto"/>
          </w:tcPr>
          <w:p w14:paraId="6E929C7B" w14:textId="77777777" w:rsidR="002728AA" w:rsidRDefault="002728AA" w:rsidP="004D7B1D">
            <w:pPr>
              <w:spacing w:before="360"/>
            </w:pPr>
            <w:r>
              <w:t>Important / Building</w:t>
            </w:r>
          </w:p>
        </w:tc>
        <w:tc>
          <w:tcPr>
            <w:tcW w:w="0" w:type="auto"/>
          </w:tcPr>
          <w:p w14:paraId="098A0DB4" w14:textId="77777777" w:rsidR="002728AA" w:rsidRDefault="002728AA" w:rsidP="004D7B1D">
            <w:pPr>
              <w:spacing w:before="360"/>
            </w:pPr>
            <w:r>
              <w:t>Important for quality improvement; builds on foundational work; supports sustainability</w:t>
            </w:r>
          </w:p>
        </w:tc>
      </w:tr>
      <w:tr w:rsidR="002728AA" w14:paraId="479544DD" w14:textId="77777777" w:rsidTr="004D7B1D">
        <w:tc>
          <w:tcPr>
            <w:tcW w:w="0" w:type="auto"/>
            <w:shd w:val="clear" w:color="auto" w:fill="D9EAD3"/>
          </w:tcPr>
          <w:p w14:paraId="77145337" w14:textId="77777777" w:rsidR="002728AA" w:rsidRDefault="002728AA" w:rsidP="004D7B1D">
            <w:pPr>
              <w:spacing w:before="360"/>
            </w:pPr>
            <w:r>
              <w:rPr>
                <w:b/>
                <w:bCs/>
              </w:rPr>
              <w:lastRenderedPageBreak/>
              <w:t>3 (Lower)</w:t>
            </w:r>
          </w:p>
        </w:tc>
        <w:tc>
          <w:tcPr>
            <w:tcW w:w="0" w:type="auto"/>
          </w:tcPr>
          <w:p w14:paraId="61C9603C" w14:textId="77777777" w:rsidR="002728AA" w:rsidRDefault="002728AA" w:rsidP="004D7B1D">
            <w:pPr>
              <w:spacing w:before="360"/>
            </w:pPr>
            <w:r>
              <w:t>Longer-term / Partnership</w:t>
            </w:r>
          </w:p>
        </w:tc>
        <w:tc>
          <w:tcPr>
            <w:tcW w:w="0" w:type="auto"/>
          </w:tcPr>
          <w:p w14:paraId="057DD65C" w14:textId="77777777" w:rsidR="002728AA" w:rsidRDefault="002728AA" w:rsidP="004D7B1D">
            <w:pPr>
              <w:spacing w:before="360"/>
            </w:pPr>
            <w:r>
              <w:t>Requires system-level change; partnership working; outside direct trust control; policy/context</w:t>
            </w:r>
          </w:p>
        </w:tc>
      </w:tr>
    </w:tbl>
    <w:p w14:paraId="447FAA07" w14:textId="77777777" w:rsidR="002728AA" w:rsidRDefault="002728AA" w:rsidP="002728AA">
      <w:pPr>
        <w:pStyle w:val="Heading1"/>
      </w:pPr>
      <w:bookmarkStart w:id="19" w:name="_Toc219990989"/>
      <w:r>
        <w:t>Implications for Programme Delivery</w:t>
      </w:r>
      <w:bookmarkEnd w:id="19"/>
    </w:p>
    <w:p w14:paraId="70AA9CEA" w14:textId="77777777" w:rsidR="002728AA" w:rsidRDefault="002728AA" w:rsidP="002728AA">
      <w:pPr>
        <w:pStyle w:val="ListParagraph"/>
        <w:numPr>
          <w:ilvl w:val="0"/>
          <w:numId w:val="3"/>
        </w:numPr>
        <w:spacing w:before="360"/>
      </w:pPr>
      <w:r>
        <w:rPr>
          <w:b/>
          <w:bCs/>
        </w:rPr>
        <w:t xml:space="preserve">Programme logic is validated: </w:t>
      </w:r>
      <w:r>
        <w:t xml:space="preserve">The concentration of requirements in </w:t>
      </w:r>
      <w:proofErr w:type="spellStart"/>
      <w:r>
        <w:t>WS2</w:t>
      </w:r>
      <w:proofErr w:type="spellEnd"/>
      <w:r>
        <w:t xml:space="preserve"> (110) and </w:t>
      </w:r>
      <w:proofErr w:type="spellStart"/>
      <w:r>
        <w:t>WS3</w:t>
      </w:r>
      <w:proofErr w:type="spellEnd"/>
      <w:r>
        <w:t xml:space="preserve"> (155) confirms that proactive, preventative work should reduce reactive demand in </w:t>
      </w:r>
      <w:proofErr w:type="spellStart"/>
      <w:r>
        <w:t>WS1</w:t>
      </w:r>
      <w:proofErr w:type="spellEnd"/>
      <w:r>
        <w:t xml:space="preserve"> (67). This supports the programme's strategic direction.</w:t>
      </w:r>
    </w:p>
    <w:p w14:paraId="5C52BD0F" w14:textId="77777777" w:rsidR="002728AA" w:rsidRDefault="002728AA" w:rsidP="002728AA">
      <w:pPr>
        <w:pStyle w:val="ListParagraph"/>
        <w:numPr>
          <w:ilvl w:val="0"/>
          <w:numId w:val="3"/>
        </w:numPr>
        <w:spacing w:before="360"/>
      </w:pPr>
      <w:r>
        <w:rPr>
          <w:b/>
          <w:bCs/>
        </w:rPr>
        <w:t xml:space="preserve">Digital Flag is a quick win: </w:t>
      </w:r>
      <w:r>
        <w:t>With only 3 specific requirements but high strategic importance, the September 2025 target for 100% patient flagging represents an achievable milestone with significant downstream benefits.</w:t>
      </w:r>
    </w:p>
    <w:p w14:paraId="6D2BD29F" w14:textId="77777777" w:rsidR="002728AA" w:rsidRDefault="002728AA" w:rsidP="002728AA">
      <w:pPr>
        <w:pStyle w:val="ListParagraph"/>
        <w:numPr>
          <w:ilvl w:val="0"/>
          <w:numId w:val="3"/>
        </w:numPr>
        <w:spacing w:before="360"/>
      </w:pPr>
      <w:r>
        <w:rPr>
          <w:b/>
          <w:bCs/>
        </w:rPr>
        <w:t xml:space="preserve">Autism-informed frameworks require systematic embedding: </w:t>
      </w:r>
      <w:r>
        <w:t>The 47 requirements under SPACE and SPELL frameworks represent the largest single sub-theme. Implementation requires workforce development, environmental adaptation, and cultural change – not just training.</w:t>
      </w:r>
    </w:p>
    <w:p w14:paraId="453C065D" w14:textId="77777777" w:rsidR="002728AA" w:rsidRDefault="002728AA" w:rsidP="002728AA">
      <w:pPr>
        <w:pStyle w:val="ListParagraph"/>
        <w:numPr>
          <w:ilvl w:val="0"/>
          <w:numId w:val="3"/>
        </w:numPr>
        <w:spacing w:before="360"/>
      </w:pPr>
      <w:r>
        <w:rPr>
          <w:b/>
          <w:bCs/>
        </w:rPr>
        <w:t xml:space="preserve">Co-production must be resourced: </w:t>
      </w:r>
      <w:r>
        <w:t>The 17 co-production requirements consistently emphasise fair compensation, support structures, and genuine leadership roles – not tokenistic consultation. The Lived Experience Programme Board requires sustainable funding.</w:t>
      </w:r>
    </w:p>
    <w:p w14:paraId="2ACCE724" w14:textId="77777777" w:rsidR="002728AA" w:rsidRDefault="002728AA" w:rsidP="002728AA">
      <w:pPr>
        <w:pStyle w:val="ListParagraph"/>
        <w:numPr>
          <w:ilvl w:val="0"/>
          <w:numId w:val="3"/>
        </w:numPr>
        <w:spacing w:before="360"/>
      </w:pPr>
      <w:r>
        <w:rPr>
          <w:b/>
          <w:bCs/>
        </w:rPr>
        <w:t xml:space="preserve">Restrictive practice reduction links to </w:t>
      </w:r>
      <w:proofErr w:type="spellStart"/>
      <w:r>
        <w:rPr>
          <w:b/>
          <w:bCs/>
        </w:rPr>
        <w:t>WS3</w:t>
      </w:r>
      <w:proofErr w:type="spellEnd"/>
      <w:r>
        <w:rPr>
          <w:b/>
          <w:bCs/>
        </w:rPr>
        <w:t xml:space="preserve">: </w:t>
      </w:r>
      <w:r>
        <w:t>The 13 restrictive practice requirements (</w:t>
      </w:r>
      <w:proofErr w:type="spellStart"/>
      <w:r>
        <w:t>WS1</w:t>
      </w:r>
      <w:proofErr w:type="spellEnd"/>
      <w:r>
        <w:t xml:space="preserve">) identify contributing factors including inadequate training and inappropriate environments – both addressed through </w:t>
      </w:r>
      <w:proofErr w:type="spellStart"/>
      <w:r>
        <w:t>WS3</w:t>
      </w:r>
      <w:proofErr w:type="spellEnd"/>
      <w:r>
        <w:t xml:space="preserve"> activities.</w:t>
      </w:r>
    </w:p>
    <w:p w14:paraId="11CC2340" w14:textId="77777777" w:rsidR="002728AA" w:rsidRDefault="002728AA" w:rsidP="002728AA">
      <w:pPr>
        <w:pStyle w:val="ListParagraph"/>
        <w:numPr>
          <w:ilvl w:val="0"/>
          <w:numId w:val="3"/>
        </w:numPr>
        <w:spacing w:before="360"/>
      </w:pPr>
      <w:r>
        <w:rPr>
          <w:b/>
          <w:bCs/>
        </w:rPr>
        <w:t xml:space="preserve">Partnership working is required for </w:t>
      </w:r>
      <w:proofErr w:type="spellStart"/>
      <w:r>
        <w:rPr>
          <w:b/>
          <w:bCs/>
        </w:rPr>
        <w:t>WS2</w:t>
      </w:r>
      <w:proofErr w:type="spellEnd"/>
      <w:r>
        <w:rPr>
          <w:b/>
          <w:bCs/>
        </w:rPr>
        <w:t xml:space="preserve">: </w:t>
      </w:r>
      <w:r>
        <w:t>The 23 requirements relating to employment, education, and criminal justice sit largely outside direct trust control but require engagement with system partners.</w:t>
      </w:r>
    </w:p>
    <w:p w14:paraId="5F71198D" w14:textId="77777777" w:rsidR="002728AA" w:rsidRDefault="002728AA" w:rsidP="002728AA">
      <w:pPr>
        <w:pStyle w:val="Heading1"/>
      </w:pPr>
      <w:bookmarkStart w:id="20" w:name="_Toc219990990"/>
      <w:r>
        <w:t>References</w:t>
      </w:r>
      <w:bookmarkEnd w:id="20"/>
    </w:p>
    <w:p w14:paraId="10EE251F" w14:textId="77777777" w:rsidR="002728AA" w:rsidRDefault="002728AA" w:rsidP="002728AA">
      <w:pPr>
        <w:pStyle w:val="Reference"/>
        <w:spacing w:before="360"/>
      </w:pPr>
      <w:r>
        <w:t xml:space="preserve">House of Lords Autism Act 2009 Committee. (2025). </w:t>
      </w:r>
      <w:r>
        <w:rPr>
          <w:i/>
          <w:iCs/>
        </w:rPr>
        <w:t>Time to deliver: The Autism Act 2009 and the new autism strategy</w:t>
      </w:r>
      <w:r>
        <w:t xml:space="preserve"> (HL Paper). House of Lords.</w:t>
      </w:r>
    </w:p>
    <w:p w14:paraId="1B12C325" w14:textId="77777777" w:rsidR="002728AA" w:rsidRDefault="002728AA" w:rsidP="002728AA">
      <w:pPr>
        <w:pStyle w:val="Reference"/>
        <w:spacing w:before="360"/>
      </w:pPr>
      <w:r>
        <w:lastRenderedPageBreak/>
        <w:t xml:space="preserve">Kent and Medway NHS and Social Care Partnership Trust. (2024). </w:t>
      </w:r>
      <w:r>
        <w:rPr>
          <w:i/>
          <w:iCs/>
        </w:rPr>
        <w:t>Learning disability and autism programme plan 2025/26</w:t>
      </w:r>
      <w:r>
        <w:t xml:space="preserve">. </w:t>
      </w:r>
      <w:proofErr w:type="spellStart"/>
      <w:r>
        <w:t>KMMH</w:t>
      </w:r>
      <w:proofErr w:type="spellEnd"/>
      <w:r>
        <w:t>.</w:t>
      </w:r>
    </w:p>
    <w:p w14:paraId="39D534B7" w14:textId="77777777" w:rsidR="002728AA" w:rsidRDefault="002728AA" w:rsidP="002728AA">
      <w:pPr>
        <w:pStyle w:val="Reference"/>
        <w:spacing w:before="360"/>
      </w:pPr>
      <w:r>
        <w:t xml:space="preserve">NHS England. (2018). </w:t>
      </w:r>
      <w:r>
        <w:rPr>
          <w:i/>
          <w:iCs/>
        </w:rPr>
        <w:t>Learning disability improvement standards</w:t>
      </w:r>
      <w:r>
        <w:t>. NHS England.</w:t>
      </w:r>
    </w:p>
    <w:p w14:paraId="435414E4" w14:textId="77777777" w:rsidR="002728AA" w:rsidRDefault="002728AA" w:rsidP="002728AA">
      <w:pPr>
        <w:pStyle w:val="Reference"/>
        <w:spacing w:before="360"/>
      </w:pPr>
      <w:r>
        <w:t xml:space="preserve">NHS England. (2019). </w:t>
      </w:r>
      <w:r>
        <w:rPr>
          <w:i/>
          <w:iCs/>
        </w:rPr>
        <w:t>The NHS Long Term Plan</w:t>
      </w:r>
      <w:r>
        <w:t>. NHS England.</w:t>
      </w:r>
    </w:p>
    <w:p w14:paraId="0BB24274" w14:textId="77777777" w:rsidR="002728AA" w:rsidRDefault="002728AA" w:rsidP="002728AA">
      <w:pPr>
        <w:pStyle w:val="Reference"/>
        <w:spacing w:before="360"/>
      </w:pPr>
      <w:r>
        <w:t xml:space="preserve">NHS England. (2023). </w:t>
      </w:r>
      <w:r>
        <w:rPr>
          <w:i/>
          <w:iCs/>
        </w:rPr>
        <w:t>Meeting the needs of autistic adults in mental health services</w:t>
      </w:r>
      <w:r>
        <w:t xml:space="preserve"> (</w:t>
      </w:r>
      <w:proofErr w:type="spellStart"/>
      <w:r>
        <w:t>B1800</w:t>
      </w:r>
      <w:proofErr w:type="spellEnd"/>
      <w:r>
        <w:t>). NHS England.</w:t>
      </w:r>
    </w:p>
    <w:p w14:paraId="50AC0487" w14:textId="77777777" w:rsidR="002728AA" w:rsidRDefault="002728AA" w:rsidP="002728AA">
      <w:pPr>
        <w:pStyle w:val="Reference"/>
        <w:spacing w:before="360"/>
      </w:pPr>
      <w:r>
        <w:t xml:space="preserve">NHS England. (2025). </w:t>
      </w:r>
      <w:r>
        <w:rPr>
          <w:i/>
          <w:iCs/>
        </w:rPr>
        <w:t>Autism-informed inpatient care</w:t>
      </w:r>
      <w:r>
        <w:t>. NHS England.</w:t>
      </w:r>
    </w:p>
    <w:p w14:paraId="6353B92A" w14:textId="24F2F5FB" w:rsidR="00D377D6" w:rsidRPr="002728AA" w:rsidRDefault="00D377D6" w:rsidP="002728AA"/>
    <w:sectPr w:rsidR="00D377D6" w:rsidRPr="002728AA">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0168" w14:textId="77777777" w:rsidR="00CC3F55" w:rsidRDefault="00CC3F55">
      <w:pPr>
        <w:spacing w:after="0" w:line="240" w:lineRule="auto"/>
      </w:pPr>
      <w:r>
        <w:separator/>
      </w:r>
    </w:p>
  </w:endnote>
  <w:endnote w:type="continuationSeparator" w:id="0">
    <w:p w14:paraId="2A3F8888" w14:textId="77777777" w:rsidR="00CC3F55" w:rsidRDefault="00C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4371" w14:textId="77777777" w:rsidR="00D377D6" w:rsidRDefault="008B2115">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6467D7">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0641" w14:textId="77777777" w:rsidR="00CC3F55" w:rsidRDefault="00CC3F55">
      <w:pPr>
        <w:spacing w:after="0" w:line="240" w:lineRule="auto"/>
      </w:pPr>
      <w:r>
        <w:separator/>
      </w:r>
    </w:p>
  </w:footnote>
  <w:footnote w:type="continuationSeparator" w:id="0">
    <w:p w14:paraId="0F673E17" w14:textId="77777777" w:rsidR="00CC3F55" w:rsidRDefault="00CC3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62E" w14:textId="39037A71" w:rsidR="00D377D6" w:rsidRDefault="009E5036">
    <w:pPr>
      <w:jc w:val="right"/>
    </w:pPr>
    <w:r>
      <w:rPr>
        <w:i/>
        <w:iCs/>
        <w:sz w:val="20"/>
        <w:szCs w:val="20"/>
      </w:rPr>
      <w:t xml:space="preserve">Dr C Farahar, </w:t>
    </w:r>
    <w:proofErr w:type="spellStart"/>
    <w:r w:rsidR="008B2115">
      <w:rPr>
        <w:i/>
        <w:iCs/>
        <w:sz w:val="20"/>
        <w:szCs w:val="20"/>
      </w:rPr>
      <w:t>KM</w:t>
    </w:r>
    <w:r>
      <w:rPr>
        <w:i/>
        <w:iCs/>
        <w:sz w:val="20"/>
        <w:szCs w:val="20"/>
      </w:rPr>
      <w:t>MH</w:t>
    </w:r>
    <w:proofErr w:type="spellEnd"/>
    <w:r w:rsidR="008B2115">
      <w:rPr>
        <w:i/>
        <w:iCs/>
        <w:sz w:val="20"/>
        <w:szCs w:val="20"/>
      </w:rPr>
      <w:t xml:space="preserve"> </w:t>
    </w:r>
    <w:proofErr w:type="spellStart"/>
    <w:r w:rsidR="008B2115">
      <w:rPr>
        <w:i/>
        <w:iCs/>
        <w:sz w:val="20"/>
        <w:szCs w:val="20"/>
      </w:rPr>
      <w:t>LD&amp;A</w:t>
    </w:r>
    <w:proofErr w:type="spellEnd"/>
    <w:r w:rsidR="008B2115">
      <w:rPr>
        <w:i/>
        <w:iCs/>
        <w:sz w:val="20"/>
        <w:szCs w:val="20"/>
      </w:rPr>
      <w:t xml:space="preserve"> Programme: Policy Requirements Mapping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20D"/>
    <w:multiLevelType w:val="hybridMultilevel"/>
    <w:tmpl w:val="1C5098C6"/>
    <w:lvl w:ilvl="0" w:tplc="5DEED746">
      <w:start w:val="1"/>
      <w:numFmt w:val="bullet"/>
      <w:lvlText w:val="•"/>
      <w:lvlJc w:val="left"/>
      <w:pPr>
        <w:ind w:left="720" w:hanging="360"/>
      </w:pPr>
    </w:lvl>
    <w:lvl w:ilvl="1" w:tplc="4810039C">
      <w:numFmt w:val="decimal"/>
      <w:lvlText w:val=""/>
      <w:lvlJc w:val="left"/>
    </w:lvl>
    <w:lvl w:ilvl="2" w:tplc="F85202FC">
      <w:numFmt w:val="decimal"/>
      <w:lvlText w:val=""/>
      <w:lvlJc w:val="left"/>
    </w:lvl>
    <w:lvl w:ilvl="3" w:tplc="F742473A">
      <w:numFmt w:val="decimal"/>
      <w:lvlText w:val=""/>
      <w:lvlJc w:val="left"/>
    </w:lvl>
    <w:lvl w:ilvl="4" w:tplc="EE1EBE0C">
      <w:numFmt w:val="decimal"/>
      <w:lvlText w:val=""/>
      <w:lvlJc w:val="left"/>
    </w:lvl>
    <w:lvl w:ilvl="5" w:tplc="41744A26">
      <w:numFmt w:val="decimal"/>
      <w:lvlText w:val=""/>
      <w:lvlJc w:val="left"/>
    </w:lvl>
    <w:lvl w:ilvl="6" w:tplc="F0C6666A">
      <w:numFmt w:val="decimal"/>
      <w:lvlText w:val=""/>
      <w:lvlJc w:val="left"/>
    </w:lvl>
    <w:lvl w:ilvl="7" w:tplc="7DE6671C">
      <w:numFmt w:val="decimal"/>
      <w:lvlText w:val=""/>
      <w:lvlJc w:val="left"/>
    </w:lvl>
    <w:lvl w:ilvl="8" w:tplc="33BAD79C">
      <w:numFmt w:val="decimal"/>
      <w:lvlText w:val=""/>
      <w:lvlJc w:val="left"/>
    </w:lvl>
  </w:abstractNum>
  <w:abstractNum w:abstractNumId="1" w15:restartNumberingAfterBreak="0">
    <w:nsid w:val="357D3C3E"/>
    <w:multiLevelType w:val="hybridMultilevel"/>
    <w:tmpl w:val="5FE66F0A"/>
    <w:lvl w:ilvl="0" w:tplc="5868E07E">
      <w:start w:val="1"/>
      <w:numFmt w:val="bullet"/>
      <w:lvlText w:val="●"/>
      <w:lvlJc w:val="left"/>
      <w:pPr>
        <w:ind w:left="720" w:hanging="360"/>
      </w:pPr>
    </w:lvl>
    <w:lvl w:ilvl="1" w:tplc="C60A2122">
      <w:start w:val="1"/>
      <w:numFmt w:val="bullet"/>
      <w:lvlText w:val="○"/>
      <w:lvlJc w:val="left"/>
      <w:pPr>
        <w:ind w:left="1440" w:hanging="360"/>
      </w:pPr>
    </w:lvl>
    <w:lvl w:ilvl="2" w:tplc="81D8DFEA">
      <w:start w:val="1"/>
      <w:numFmt w:val="bullet"/>
      <w:lvlText w:val="■"/>
      <w:lvlJc w:val="left"/>
      <w:pPr>
        <w:ind w:left="2160" w:hanging="360"/>
      </w:pPr>
    </w:lvl>
    <w:lvl w:ilvl="3" w:tplc="B3AE9F56">
      <w:start w:val="1"/>
      <w:numFmt w:val="bullet"/>
      <w:lvlText w:val="●"/>
      <w:lvlJc w:val="left"/>
      <w:pPr>
        <w:ind w:left="2880" w:hanging="360"/>
      </w:pPr>
    </w:lvl>
    <w:lvl w:ilvl="4" w:tplc="1C703C50">
      <w:start w:val="1"/>
      <w:numFmt w:val="bullet"/>
      <w:lvlText w:val="○"/>
      <w:lvlJc w:val="left"/>
      <w:pPr>
        <w:ind w:left="3600" w:hanging="360"/>
      </w:pPr>
    </w:lvl>
    <w:lvl w:ilvl="5" w:tplc="147EA6B6">
      <w:start w:val="1"/>
      <w:numFmt w:val="bullet"/>
      <w:lvlText w:val="■"/>
      <w:lvlJc w:val="left"/>
      <w:pPr>
        <w:ind w:left="4320" w:hanging="360"/>
      </w:pPr>
    </w:lvl>
    <w:lvl w:ilvl="6" w:tplc="0A70E2B0">
      <w:start w:val="1"/>
      <w:numFmt w:val="bullet"/>
      <w:lvlText w:val="●"/>
      <w:lvlJc w:val="left"/>
      <w:pPr>
        <w:ind w:left="5040" w:hanging="360"/>
      </w:pPr>
    </w:lvl>
    <w:lvl w:ilvl="7" w:tplc="026C5808">
      <w:start w:val="1"/>
      <w:numFmt w:val="bullet"/>
      <w:lvlText w:val="●"/>
      <w:lvlJc w:val="left"/>
      <w:pPr>
        <w:ind w:left="5760" w:hanging="360"/>
      </w:pPr>
    </w:lvl>
    <w:lvl w:ilvl="8" w:tplc="B4C22D86">
      <w:start w:val="1"/>
      <w:numFmt w:val="bullet"/>
      <w:lvlText w:val="●"/>
      <w:lvlJc w:val="left"/>
      <w:pPr>
        <w:ind w:left="6480" w:hanging="360"/>
      </w:pPr>
    </w:lvl>
  </w:abstractNum>
  <w:abstractNum w:abstractNumId="2" w15:restartNumberingAfterBreak="0">
    <w:nsid w:val="5B00641E"/>
    <w:multiLevelType w:val="hybridMultilevel"/>
    <w:tmpl w:val="5F469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D668B0"/>
    <w:multiLevelType w:val="multilevel"/>
    <w:tmpl w:val="D64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BA0541"/>
    <w:multiLevelType w:val="hybridMultilevel"/>
    <w:tmpl w:val="9670DC9E"/>
    <w:lvl w:ilvl="0" w:tplc="0809000F">
      <w:start w:val="1"/>
      <w:numFmt w:val="decimal"/>
      <w:lvlText w:val="%1."/>
      <w:lvlJc w:val="left"/>
      <w:pPr>
        <w:ind w:left="720" w:hanging="360"/>
      </w:pPr>
    </w:lvl>
    <w:lvl w:ilvl="1" w:tplc="4844B24A">
      <w:numFmt w:val="bullet"/>
      <w:lvlText w:val=""/>
      <w:lvlJc w:val="left"/>
      <w:pPr>
        <w:ind w:left="1440" w:hanging="360"/>
      </w:pPr>
      <w:rPr>
        <w:rFonts w:ascii="Symbol" w:eastAsiaTheme="minorHAns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2968AC"/>
    <w:multiLevelType w:val="hybridMultilevel"/>
    <w:tmpl w:val="D6D65DA0"/>
    <w:lvl w:ilvl="0" w:tplc="4606E870">
      <w:start w:val="1"/>
      <w:numFmt w:val="decimal"/>
      <w:lvlText w:val="%1."/>
      <w:lvlJc w:val="left"/>
      <w:pPr>
        <w:ind w:left="720" w:hanging="360"/>
      </w:pPr>
    </w:lvl>
    <w:lvl w:ilvl="1" w:tplc="B6D8274C">
      <w:numFmt w:val="decimal"/>
      <w:lvlText w:val=""/>
      <w:lvlJc w:val="left"/>
    </w:lvl>
    <w:lvl w:ilvl="2" w:tplc="DAAE034C">
      <w:numFmt w:val="decimal"/>
      <w:lvlText w:val=""/>
      <w:lvlJc w:val="left"/>
    </w:lvl>
    <w:lvl w:ilvl="3" w:tplc="D1B00536">
      <w:numFmt w:val="decimal"/>
      <w:lvlText w:val=""/>
      <w:lvlJc w:val="left"/>
    </w:lvl>
    <w:lvl w:ilvl="4" w:tplc="328A2576">
      <w:numFmt w:val="decimal"/>
      <w:lvlText w:val=""/>
      <w:lvlJc w:val="left"/>
    </w:lvl>
    <w:lvl w:ilvl="5" w:tplc="9856CA36">
      <w:numFmt w:val="decimal"/>
      <w:lvlText w:val=""/>
      <w:lvlJc w:val="left"/>
    </w:lvl>
    <w:lvl w:ilvl="6" w:tplc="27AC5AAA">
      <w:numFmt w:val="decimal"/>
      <w:lvlText w:val=""/>
      <w:lvlJc w:val="left"/>
    </w:lvl>
    <w:lvl w:ilvl="7" w:tplc="C42EAC4C">
      <w:numFmt w:val="decimal"/>
      <w:lvlText w:val=""/>
      <w:lvlJc w:val="left"/>
    </w:lvl>
    <w:lvl w:ilvl="8" w:tplc="7DF239F0">
      <w:numFmt w:val="decimal"/>
      <w:lvlText w:val=""/>
      <w:lvlJc w:val="left"/>
    </w:lvl>
  </w:abstractNum>
  <w:num w:numId="1" w16cid:durableId="1198280593">
    <w:abstractNumId w:val="1"/>
    <w:lvlOverride w:ilvl="0">
      <w:startOverride w:val="1"/>
    </w:lvlOverride>
  </w:num>
  <w:num w:numId="2" w16cid:durableId="1890454504">
    <w:abstractNumId w:val="5"/>
    <w:lvlOverride w:ilvl="0">
      <w:startOverride w:val="1"/>
    </w:lvlOverride>
  </w:num>
  <w:num w:numId="3" w16cid:durableId="715079995">
    <w:abstractNumId w:val="0"/>
    <w:lvlOverride w:ilvl="0">
      <w:startOverride w:val="1"/>
    </w:lvlOverride>
  </w:num>
  <w:num w:numId="4" w16cid:durableId="956059529">
    <w:abstractNumId w:val="4"/>
  </w:num>
  <w:num w:numId="5" w16cid:durableId="573007604">
    <w:abstractNumId w:val="3"/>
  </w:num>
  <w:num w:numId="6" w16cid:durableId="158225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D6"/>
    <w:rsid w:val="001B0876"/>
    <w:rsid w:val="001E2C1D"/>
    <w:rsid w:val="002728AA"/>
    <w:rsid w:val="002B78B7"/>
    <w:rsid w:val="00301991"/>
    <w:rsid w:val="00397899"/>
    <w:rsid w:val="00561FCF"/>
    <w:rsid w:val="006467D7"/>
    <w:rsid w:val="008B2115"/>
    <w:rsid w:val="009E5036"/>
    <w:rsid w:val="00CC3F55"/>
    <w:rsid w:val="00D377D6"/>
    <w:rsid w:val="00E14763"/>
    <w:rsid w:val="61D0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D846"/>
  <w15:docId w15:val="{AE7091DA-12CC-4305-8141-4A1274D8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pPr>
  </w:style>
  <w:style w:type="paragraph" w:styleId="Heading1">
    <w:name w:val="heading 1"/>
    <w:basedOn w:val="Normal"/>
    <w:next w:val="Normal"/>
    <w:link w:val="Heading1Char"/>
    <w:uiPriority w:val="9"/>
    <w:qFormat/>
    <w:pPr>
      <w:spacing w:before="360"/>
      <w:outlineLvl w:val="0"/>
    </w:pPr>
    <w:rPr>
      <w:b/>
      <w:bCs/>
      <w:color w:val="1F4E79"/>
      <w:sz w:val="32"/>
      <w:szCs w:val="32"/>
    </w:rPr>
  </w:style>
  <w:style w:type="paragraph" w:styleId="Heading2">
    <w:name w:val="heading 2"/>
    <w:basedOn w:val="Normal"/>
    <w:next w:val="Normal"/>
    <w:link w:val="Heading2Char"/>
    <w:uiPriority w:val="9"/>
    <w:unhideWhenUsed/>
    <w:qFormat/>
    <w:pPr>
      <w:spacing w:before="240"/>
      <w:outlineLvl w:val="1"/>
    </w:pPr>
    <w:rPr>
      <w:b/>
      <w:bCs/>
      <w:color w:val="2E75B6"/>
      <w:sz w:val="26"/>
      <w:szCs w:val="26"/>
    </w:rPr>
  </w:style>
  <w:style w:type="paragraph" w:styleId="Heading3">
    <w:name w:val="heading 3"/>
    <w:basedOn w:val="Normal"/>
    <w:next w:val="Normal"/>
    <w:link w:val="Heading3Char"/>
    <w:uiPriority w:val="9"/>
    <w:unhideWhenUsed/>
    <w:qFormat/>
    <w:pPr>
      <w:spacing w:before="200" w:after="100"/>
      <w:outlineLvl w:val="2"/>
    </w:pPr>
    <w:rPr>
      <w:b/>
      <w:bCs/>
      <w:color w:val="404040"/>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rPr>
      <w:b/>
      <w:bCs/>
      <w:color w:val="000000"/>
      <w:sz w:val="48"/>
      <w:szCs w:val="48"/>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Reference">
    <w:name w:val="Reference"/>
    <w:pPr>
      <w:spacing w:after="120"/>
      <w:ind w:left="720" w:hanging="720"/>
    </w:pPr>
    <w:rPr>
      <w:sz w:val="22"/>
      <w:szCs w:val="22"/>
    </w:rPr>
  </w:style>
  <w:style w:type="paragraph" w:styleId="Header">
    <w:name w:val="header"/>
    <w:basedOn w:val="Normal"/>
    <w:link w:val="HeaderChar"/>
    <w:uiPriority w:val="99"/>
    <w:unhideWhenUsed/>
    <w:rsid w:val="009E5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036"/>
  </w:style>
  <w:style w:type="paragraph" w:styleId="Footer">
    <w:name w:val="footer"/>
    <w:basedOn w:val="Normal"/>
    <w:link w:val="FooterChar"/>
    <w:uiPriority w:val="99"/>
    <w:unhideWhenUsed/>
    <w:rsid w:val="009E5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036"/>
  </w:style>
  <w:style w:type="character" w:customStyle="1" w:styleId="Heading1Char">
    <w:name w:val="Heading 1 Char"/>
    <w:basedOn w:val="DefaultParagraphFont"/>
    <w:link w:val="Heading1"/>
    <w:uiPriority w:val="9"/>
    <w:rsid w:val="002728AA"/>
    <w:rPr>
      <w:b/>
      <w:bCs/>
      <w:color w:val="1F4E79"/>
      <w:sz w:val="32"/>
      <w:szCs w:val="32"/>
    </w:rPr>
  </w:style>
  <w:style w:type="character" w:customStyle="1" w:styleId="Heading2Char">
    <w:name w:val="Heading 2 Char"/>
    <w:basedOn w:val="DefaultParagraphFont"/>
    <w:link w:val="Heading2"/>
    <w:uiPriority w:val="9"/>
    <w:rsid w:val="002728AA"/>
    <w:rPr>
      <w:b/>
      <w:bCs/>
      <w:color w:val="2E75B6"/>
      <w:sz w:val="26"/>
      <w:szCs w:val="26"/>
    </w:rPr>
  </w:style>
  <w:style w:type="character" w:customStyle="1" w:styleId="Heading3Char">
    <w:name w:val="Heading 3 Char"/>
    <w:basedOn w:val="DefaultParagraphFont"/>
    <w:link w:val="Heading3"/>
    <w:uiPriority w:val="9"/>
    <w:rsid w:val="002728AA"/>
    <w:rPr>
      <w:b/>
      <w:bCs/>
      <w:color w:val="404040"/>
    </w:rPr>
  </w:style>
  <w:style w:type="paragraph" w:styleId="TOCHeading">
    <w:name w:val="TOC Heading"/>
    <w:basedOn w:val="Heading1"/>
    <w:next w:val="Normal"/>
    <w:uiPriority w:val="39"/>
    <w:unhideWhenUsed/>
    <w:qFormat/>
    <w:rsid w:val="002728AA"/>
    <w:pPr>
      <w:keepNext/>
      <w:keepLines/>
      <w:spacing w:before="240" w:after="0" w:line="259" w:lineRule="auto"/>
      <w:outlineLvl w:val="9"/>
    </w:pPr>
    <w:rPr>
      <w:rFonts w:asciiTheme="majorHAnsi" w:eastAsiaTheme="majorEastAsia" w:hAnsiTheme="majorHAnsi" w:cstheme="majorBidi"/>
      <w:b w:val="0"/>
      <w:bCs w:val="0"/>
      <w:color w:val="0F4761" w:themeColor="accent1" w:themeShade="BF"/>
      <w:lang w:val="en-US" w:eastAsia="en-US"/>
    </w:rPr>
  </w:style>
  <w:style w:type="paragraph" w:styleId="TOC1">
    <w:name w:val="toc 1"/>
    <w:basedOn w:val="Normal"/>
    <w:next w:val="Normal"/>
    <w:autoRedefine/>
    <w:uiPriority w:val="39"/>
    <w:unhideWhenUsed/>
    <w:rsid w:val="002728AA"/>
    <w:pPr>
      <w:spacing w:after="100"/>
    </w:pPr>
  </w:style>
  <w:style w:type="paragraph" w:styleId="TOC2">
    <w:name w:val="toc 2"/>
    <w:basedOn w:val="Normal"/>
    <w:next w:val="Normal"/>
    <w:autoRedefine/>
    <w:uiPriority w:val="39"/>
    <w:unhideWhenUsed/>
    <w:rsid w:val="002728AA"/>
    <w:pPr>
      <w:spacing w:after="100"/>
      <w:ind w:left="240"/>
    </w:pPr>
  </w:style>
  <w:style w:type="paragraph" w:styleId="TOC3">
    <w:name w:val="toc 3"/>
    <w:basedOn w:val="Normal"/>
    <w:next w:val="Normal"/>
    <w:autoRedefine/>
    <w:uiPriority w:val="39"/>
    <w:unhideWhenUsed/>
    <w:rsid w:val="002728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83df0-7658-4926-95f2-21d148cc7c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498868296924699127E4526446485" ma:contentTypeVersion="9" ma:contentTypeDescription="Create a new document." ma:contentTypeScope="" ma:versionID="05945e8c200c410e9ea3805b04a209db">
  <xsd:schema xmlns:xsd="http://www.w3.org/2001/XMLSchema" xmlns:xs="http://www.w3.org/2001/XMLSchema" xmlns:p="http://schemas.microsoft.com/office/2006/metadata/properties" xmlns:ns2="a7a83df0-7658-4926-95f2-21d148cc7cb3" targetNamespace="http://schemas.microsoft.com/office/2006/metadata/properties" ma:root="true" ma:fieldsID="d50bc1e936f5a4225468ba5c66b6178f" ns2:_="">
    <xsd:import namespace="a7a83df0-7658-4926-95f2-21d148cc7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83df0-7658-4926-95f2-21d148cc7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0A9E8-9C60-4D18-8D18-E7978B4DC779}">
  <ds:schemaRefs>
    <ds:schemaRef ds:uri="http://schemas.microsoft.com/sharepoint/v3/contenttype/forms"/>
  </ds:schemaRefs>
</ds:datastoreItem>
</file>

<file path=customXml/itemProps2.xml><?xml version="1.0" encoding="utf-8"?>
<ds:datastoreItem xmlns:ds="http://schemas.openxmlformats.org/officeDocument/2006/customXml" ds:itemID="{A98B0F40-15D1-46C7-82C8-CAFE54F93117}">
  <ds:schemaRefs>
    <ds:schemaRef ds:uri="http://schemas.microsoft.com/office/2006/metadata/properties"/>
    <ds:schemaRef ds:uri="http://schemas.microsoft.com/office/infopath/2007/PartnerControls"/>
    <ds:schemaRef ds:uri="a7a83df0-7658-4926-95f2-21d148cc7cb3"/>
  </ds:schemaRefs>
</ds:datastoreItem>
</file>

<file path=customXml/itemProps3.xml><?xml version="1.0" encoding="utf-8"?>
<ds:datastoreItem xmlns:ds="http://schemas.openxmlformats.org/officeDocument/2006/customXml" ds:itemID="{630544AC-1C0B-4056-8834-63F1AC00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83df0-7658-4926-95f2-21d148cc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2567</Words>
  <Characters>14634</Characters>
  <Application>Microsoft Office Word</Application>
  <DocSecurity>0</DocSecurity>
  <Lines>121</Lines>
  <Paragraphs>34</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Chloe Farahar</cp:lastModifiedBy>
  <cp:revision>7</cp:revision>
  <dcterms:created xsi:type="dcterms:W3CDTF">2025-12-18T19:44:00Z</dcterms:created>
  <dcterms:modified xsi:type="dcterms:W3CDTF">2026-01-22T16:17:00Z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0x0101009CB498868296924699127E4526446485</vt:lpwstr>
  </property>
</Properties>
</file>